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7F6" w14:textId="7F3D4BF1" w:rsidR="009E4EF8" w:rsidRPr="00C572EF" w:rsidRDefault="003D3A4C">
      <w:pPr>
        <w:rPr>
          <w:b/>
          <w:bCs/>
          <w:sz w:val="28"/>
          <w:szCs w:val="28"/>
        </w:rPr>
      </w:pPr>
      <w:r w:rsidRPr="00C572EF">
        <w:rPr>
          <w:b/>
          <w:bCs/>
          <w:sz w:val="28"/>
          <w:szCs w:val="28"/>
        </w:rPr>
        <w:t xml:space="preserve">Taylor Fussell </w:t>
      </w:r>
      <w:r w:rsidRPr="00C572EF">
        <w:rPr>
          <w:b/>
          <w:bCs/>
          <w:sz w:val="28"/>
          <w:szCs w:val="28"/>
        </w:rPr>
        <w:tab/>
      </w:r>
      <w:r w:rsidR="00C572EF">
        <w:rPr>
          <w:b/>
          <w:bCs/>
          <w:sz w:val="28"/>
          <w:szCs w:val="28"/>
        </w:rPr>
        <w:t xml:space="preserve"> </w:t>
      </w:r>
      <w:r w:rsidRPr="00C572EF">
        <w:rPr>
          <w:b/>
          <w:bCs/>
          <w:sz w:val="28"/>
          <w:szCs w:val="28"/>
        </w:rPr>
        <w:t>Senses Unit 10-2-23/11/24/23</w:t>
      </w:r>
      <w:r w:rsidRPr="00C572EF">
        <w:rPr>
          <w:b/>
          <w:bCs/>
          <w:sz w:val="28"/>
          <w:szCs w:val="28"/>
        </w:rPr>
        <w:tab/>
      </w:r>
      <w:r w:rsidR="00C572EF">
        <w:rPr>
          <w:b/>
          <w:bCs/>
          <w:sz w:val="28"/>
          <w:szCs w:val="28"/>
        </w:rPr>
        <w:t xml:space="preserve">                </w:t>
      </w:r>
      <w:r w:rsidRPr="00C572EF">
        <w:rPr>
          <w:b/>
          <w:bCs/>
          <w:sz w:val="28"/>
          <w:szCs w:val="28"/>
        </w:rPr>
        <w:t>Week 11-13-23 Five Senses / Than</w:t>
      </w:r>
      <w:r w:rsidR="00C572EF" w:rsidRPr="00C572EF">
        <w:rPr>
          <w:b/>
          <w:bCs/>
          <w:sz w:val="28"/>
          <w:szCs w:val="28"/>
        </w:rPr>
        <w:t xml:space="preserve">ksgiving Luncheon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D3A4C" w14:paraId="40229534" w14:textId="77777777" w:rsidTr="003D3A4C">
        <w:tc>
          <w:tcPr>
            <w:tcW w:w="4316" w:type="dxa"/>
          </w:tcPr>
          <w:p w14:paraId="232D224B" w14:textId="1FAA011F" w:rsidR="003D3A4C" w:rsidRDefault="003D3A4C">
            <w:r>
              <w:t>Standard</w:t>
            </w:r>
          </w:p>
        </w:tc>
        <w:tc>
          <w:tcPr>
            <w:tcW w:w="4317" w:type="dxa"/>
          </w:tcPr>
          <w:p w14:paraId="1589609B" w14:textId="66A3E443" w:rsidR="003D3A4C" w:rsidRDefault="003D3A4C">
            <w:r>
              <w:t>Activity</w:t>
            </w:r>
          </w:p>
        </w:tc>
        <w:tc>
          <w:tcPr>
            <w:tcW w:w="4317" w:type="dxa"/>
          </w:tcPr>
          <w:p w14:paraId="524BC71D" w14:textId="1C7C366F" w:rsidR="003D3A4C" w:rsidRDefault="003D3A4C">
            <w:r>
              <w:t>Home Extension</w:t>
            </w:r>
          </w:p>
        </w:tc>
      </w:tr>
      <w:tr w:rsidR="003D3A4C" w14:paraId="74B9D169" w14:textId="77777777" w:rsidTr="003D3A4C">
        <w:tc>
          <w:tcPr>
            <w:tcW w:w="4316" w:type="dxa"/>
          </w:tcPr>
          <w:p w14:paraId="2E5F4869" w14:textId="78B74FC2" w:rsidR="003D3A4C" w:rsidRPr="00C572EF" w:rsidRDefault="003D3A4C" w:rsidP="003D3A4C">
            <w:pPr>
              <w:rPr>
                <w:b/>
                <w:i/>
                <w:iCs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 xml:space="preserve">Social Studies- </w:t>
            </w:r>
            <w:r w:rsidRPr="00C572EF">
              <w:rPr>
                <w:b/>
                <w:i/>
                <w:iCs/>
                <w:sz w:val="24"/>
                <w:szCs w:val="24"/>
              </w:rPr>
              <w:t>Standard: B. Individual Development and Identtity8-24 months 1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i/>
                <w:iCs/>
                <w:sz w:val="24"/>
                <w:szCs w:val="24"/>
              </w:rPr>
              <w:t xml:space="preserve">Begins to recognize characteristics of self (eyes, 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>nose</w:t>
            </w:r>
            <w:proofErr w:type="gramEnd"/>
            <w:r w:rsidRPr="00C572EF">
              <w:rPr>
                <w:b/>
                <w:i/>
                <w:iCs/>
                <w:sz w:val="24"/>
                <w:szCs w:val="24"/>
              </w:rPr>
              <w:t xml:space="preserve"> and hair) 2. Begins to recognize ability to impact </w:t>
            </w:r>
            <w:proofErr w:type="gramStart"/>
            <w:r w:rsidRPr="00C572EF">
              <w:rPr>
                <w:b/>
                <w:i/>
                <w:iCs/>
                <w:sz w:val="24"/>
                <w:szCs w:val="24"/>
              </w:rPr>
              <w:t>surroundings</w:t>
            </w:r>
            <w:proofErr w:type="gramEnd"/>
          </w:p>
          <w:p w14:paraId="09C2B46D" w14:textId="77777777" w:rsidR="003D3A4C" w:rsidRPr="00C572EF" w:rsidRDefault="003D3A4C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0D90667C" w14:textId="2B7BBCC4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Provide instruments, sticks or other objects for children to make noise</w:t>
            </w:r>
            <w:r w:rsidRPr="00C572E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572EF">
              <w:rPr>
                <w:b/>
                <w:sz w:val="24"/>
                <w:szCs w:val="24"/>
              </w:rPr>
              <w:t xml:space="preserve">Play the pointing game with children asking them to point to characteristics such as eyes, nose, </w:t>
            </w:r>
            <w:proofErr w:type="gramStart"/>
            <w:r w:rsidRPr="00C572EF">
              <w:rPr>
                <w:b/>
                <w:sz w:val="24"/>
                <w:szCs w:val="24"/>
              </w:rPr>
              <w:t>mouth</w:t>
            </w:r>
            <w:proofErr w:type="gramEnd"/>
            <w:r w:rsidRPr="00C572EF">
              <w:rPr>
                <w:b/>
                <w:sz w:val="24"/>
                <w:szCs w:val="24"/>
              </w:rPr>
              <w:t xml:space="preserve"> and hair.</w:t>
            </w:r>
          </w:p>
        </w:tc>
        <w:tc>
          <w:tcPr>
            <w:tcW w:w="4317" w:type="dxa"/>
          </w:tcPr>
          <w:p w14:paraId="77B84EF4" w14:textId="23AE139A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 xml:space="preserve">Teach children the names for their five senses body parts and </w:t>
            </w:r>
            <w:r w:rsidR="00C572EF" w:rsidRPr="00C572EF">
              <w:rPr>
                <w:b/>
                <w:sz w:val="24"/>
                <w:szCs w:val="24"/>
              </w:rPr>
              <w:t>what</w:t>
            </w:r>
            <w:r w:rsidRPr="00C572EF">
              <w:rPr>
                <w:b/>
                <w:sz w:val="24"/>
                <w:szCs w:val="24"/>
              </w:rPr>
              <w:t xml:space="preserve"> each of them do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D3A4C" w14:paraId="48DCCB9A" w14:textId="77777777" w:rsidTr="003D3A4C">
        <w:tc>
          <w:tcPr>
            <w:tcW w:w="4316" w:type="dxa"/>
          </w:tcPr>
          <w:p w14:paraId="38B28952" w14:textId="6FF8BFDE" w:rsidR="003D3A4C" w:rsidRPr="00C572EF" w:rsidRDefault="003D3A4C" w:rsidP="003D3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Language- Standards: B. Speaking 8-18 months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Speaks and 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understood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when speaking</w:t>
            </w:r>
            <w:r w:rsidRPr="00C572EF">
              <w:rPr>
                <w:b/>
                <w:sz w:val="24"/>
                <w:szCs w:val="24"/>
              </w:rPr>
              <w:t xml:space="preserve"> Benchmark,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a.</w:t>
            </w:r>
            <w:r w:rsidRPr="00C572EF">
              <w:rPr>
                <w:b/>
                <w:sz w:val="24"/>
                <w:szCs w:val="24"/>
              </w:rPr>
              <w:t xml:space="preserve"> 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Increases vocalizations</w:t>
            </w:r>
            <w:r w:rsidRPr="00C572EF">
              <w:rPr>
                <w:b/>
                <w:sz w:val="24"/>
                <w:szCs w:val="24"/>
              </w:rPr>
              <w:t>.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18-24 months Benchmark a. Speaks using new words and phrases and is understood by familiar adult 50 percent of the time</w:t>
            </w:r>
            <w:r w:rsidRPr="00C572EF">
              <w:rPr>
                <w:b/>
                <w:sz w:val="24"/>
                <w:szCs w:val="24"/>
              </w:rPr>
              <w:t>.</w:t>
            </w:r>
            <w:r w:rsidRPr="00C5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A3A335" w14:textId="77777777" w:rsidR="003D3A4C" w:rsidRPr="00C572EF" w:rsidRDefault="003D3A4C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7BB8D7AE" w14:textId="34E596EB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Sing songs and tell or read stories to children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Encourage children to ask questions by asking them questions throughout the day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Provide props in dramatic play areas that encourage conversations, such as toy phones, books, puppets, dress up clothes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572EF">
              <w:rPr>
                <w:b/>
                <w:sz w:val="24"/>
                <w:szCs w:val="24"/>
              </w:rPr>
              <w:t>Discuss choices while children make decisions about what to do with dramatic play pros.</w:t>
            </w:r>
          </w:p>
        </w:tc>
        <w:tc>
          <w:tcPr>
            <w:tcW w:w="4317" w:type="dxa"/>
          </w:tcPr>
          <w:p w14:paraId="7D372D96" w14:textId="65B28674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Sing silly car songs with your children to help them develop verbal language skills.  Rhyming songs are fun and help with onset and rhyme skills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D3A4C" w14:paraId="2C7B3572" w14:textId="77777777" w:rsidTr="003D3A4C">
        <w:tc>
          <w:tcPr>
            <w:tcW w:w="4316" w:type="dxa"/>
          </w:tcPr>
          <w:p w14:paraId="36E545EC" w14:textId="5F616EEC" w:rsidR="003D3A4C" w:rsidRPr="00C572EF" w:rsidRDefault="003D3A4C" w:rsidP="003D3A4C">
            <w:pPr>
              <w:rPr>
                <w:rStyle w:val="label"/>
                <w:b/>
                <w:i/>
                <w:iCs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 xml:space="preserve">Approaches to Learning: c. Creativity and Inventiveness </w:t>
            </w:r>
            <w:r w:rsidRPr="00C572EF">
              <w:rPr>
                <w:b/>
                <w:i/>
                <w:iCs/>
                <w:sz w:val="24"/>
                <w:szCs w:val="24"/>
              </w:rPr>
              <w:t xml:space="preserve">Standard 1. </w:t>
            </w:r>
            <w:r w:rsidRPr="00C572EF">
              <w:rPr>
                <w:rStyle w:val="label"/>
                <w:b/>
                <w:i/>
                <w:iCs/>
                <w:sz w:val="24"/>
                <w:szCs w:val="24"/>
              </w:rPr>
              <w:t xml:space="preserve"> Explores the various new properties and uses for familiar objects and experiences.</w:t>
            </w:r>
          </w:p>
          <w:p w14:paraId="597BB360" w14:textId="77777777" w:rsidR="003D3A4C" w:rsidRPr="00C572EF" w:rsidRDefault="003D3A4C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799D614F" w14:textId="37E93C7C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Ask children to find something using their senses that is a color or a shape or a category such as “something we play with” or “something we eat</w:t>
            </w:r>
            <w:proofErr w:type="gramStart"/>
            <w:r w:rsidRPr="00C572EF">
              <w:rPr>
                <w:b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4317" w:type="dxa"/>
          </w:tcPr>
          <w:p w14:paraId="25AB0212" w14:textId="6367BD5B" w:rsidR="003D3A4C" w:rsidRPr="00C572EF" w:rsidRDefault="003D3A4C">
            <w:pPr>
              <w:rPr>
                <w:b/>
                <w:sz w:val="24"/>
                <w:szCs w:val="24"/>
              </w:rPr>
            </w:pPr>
            <w:r w:rsidRPr="00C572EF">
              <w:rPr>
                <w:b/>
                <w:sz w:val="24"/>
                <w:szCs w:val="24"/>
              </w:rPr>
              <w:t>Play I spy</w:t>
            </w:r>
            <w:proofErr w:type="gramStart"/>
            <w:r w:rsidRPr="00C572EF">
              <w:rPr>
                <w:b/>
                <w:sz w:val="24"/>
                <w:szCs w:val="24"/>
              </w:rPr>
              <w:t xml:space="preserve">! </w:t>
            </w:r>
            <w:proofErr w:type="gramEnd"/>
            <w:r w:rsidRPr="00C572EF">
              <w:rPr>
                <w:b/>
                <w:sz w:val="24"/>
                <w:szCs w:val="24"/>
              </w:rPr>
              <w:t>With your child finding and naming familiar objects</w:t>
            </w:r>
          </w:p>
        </w:tc>
      </w:tr>
    </w:tbl>
    <w:p w14:paraId="224E63BA" w14:textId="77777777" w:rsidR="003D3A4C" w:rsidRDefault="003D3A4C"/>
    <w:p w14:paraId="29ACC413" w14:textId="1B561457" w:rsidR="003D3A4C" w:rsidRPr="00C572EF" w:rsidRDefault="00C572EF" w:rsidP="00C572EF">
      <w:pPr>
        <w:jc w:val="center"/>
        <w:rPr>
          <w:b/>
          <w:bCs/>
          <w:color w:val="FF0000"/>
          <w:sz w:val="52"/>
          <w:szCs w:val="52"/>
        </w:rPr>
      </w:pPr>
      <w:r w:rsidRPr="00C572EF">
        <w:rPr>
          <w:b/>
          <w:bCs/>
          <w:color w:val="FF0000"/>
          <w:sz w:val="52"/>
          <w:szCs w:val="52"/>
        </w:rPr>
        <w:t>Please Join us for our “Share the Bounty” luncheon on Friday, November 17, 2023.  Our class will eat at 11:15 am.</w:t>
      </w:r>
    </w:p>
    <w:sectPr w:rsidR="003D3A4C" w:rsidRPr="00C572EF" w:rsidSect="003D3A4C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62C" w14:textId="77777777" w:rsidR="003D3A4C" w:rsidRDefault="003D3A4C" w:rsidP="003D3A4C">
      <w:pPr>
        <w:spacing w:after="0" w:line="240" w:lineRule="auto"/>
      </w:pPr>
      <w:r>
        <w:separator/>
      </w:r>
    </w:p>
  </w:endnote>
  <w:endnote w:type="continuationSeparator" w:id="0">
    <w:p w14:paraId="3F11C923" w14:textId="77777777" w:rsidR="003D3A4C" w:rsidRDefault="003D3A4C" w:rsidP="003D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941F" w14:textId="77777777" w:rsidR="003D3A4C" w:rsidRDefault="003D3A4C" w:rsidP="003D3A4C">
      <w:pPr>
        <w:spacing w:after="0" w:line="240" w:lineRule="auto"/>
      </w:pPr>
      <w:r>
        <w:separator/>
      </w:r>
    </w:p>
  </w:footnote>
  <w:footnote w:type="continuationSeparator" w:id="0">
    <w:p w14:paraId="3A91D2F6" w14:textId="77777777" w:rsidR="003D3A4C" w:rsidRDefault="003D3A4C" w:rsidP="003D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D5CF" w14:textId="103978D8" w:rsidR="00C572EF" w:rsidRDefault="00C572EF">
    <w:pPr>
      <w:pStyle w:val="Header"/>
    </w:pPr>
    <w:r>
      <w:rPr>
        <w:noProof/>
      </w:rPr>
      <w:pict w14:anchorId="07DDA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175079" o:spid="_x0000_s2050" type="#_x0000_t75" style="position:absolute;margin-left:0;margin-top:0;width:9in;height:432.3pt;z-index:-251657216;mso-position-horizontal:center;mso-position-horizontal-relative:margin;mso-position-vertical:center;mso-position-vertical-relative:margin" o:allowincell="f">
          <v:imagedata r:id="rId1" o:title="happy-thanksgiving-wallpaper-f07264902d7f4fdd8d0e995e76c9766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208E" w14:textId="1768B5A0" w:rsidR="003D3A4C" w:rsidRPr="00C572EF" w:rsidRDefault="00C572EF" w:rsidP="00C572EF">
    <w:pPr>
      <w:pStyle w:val="Header"/>
      <w:jc w:val="center"/>
      <w:rPr>
        <w:sz w:val="40"/>
        <w:szCs w:val="40"/>
      </w:rPr>
    </w:pPr>
    <w:r w:rsidRPr="00C572EF">
      <w:rPr>
        <w:noProof/>
        <w:sz w:val="40"/>
        <w:szCs w:val="40"/>
      </w:rPr>
      <w:pict w14:anchorId="5070E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175080" o:spid="_x0000_s2051" type="#_x0000_t75" style="position:absolute;left:0;text-align:left;margin-left:0;margin-top:0;width:9in;height:432.3pt;z-index:-251656192;mso-position-horizontal:center;mso-position-horizontal-relative:margin;mso-position-vertical:center;mso-position-vertical-relative:margin" o:allowincell="f">
          <v:imagedata r:id="rId1" o:title="happy-thanksgiving-wallpaper-f07264902d7f4fdd8d0e995e76c97667" gain="19661f" blacklevel="22938f"/>
        </v:shape>
      </w:pict>
    </w:r>
    <w:r w:rsidR="003D3A4C" w:rsidRPr="00C572EF">
      <w:rPr>
        <w:sz w:val="40"/>
        <w:szCs w:val="40"/>
      </w:rPr>
      <w:t>Wonderful Ones Weekly Peek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0432" w14:textId="40D0E2C9" w:rsidR="00C572EF" w:rsidRDefault="00C572EF">
    <w:pPr>
      <w:pStyle w:val="Header"/>
    </w:pPr>
    <w:r>
      <w:rPr>
        <w:noProof/>
      </w:rPr>
      <w:pict w14:anchorId="2898F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175078" o:spid="_x0000_s2049" type="#_x0000_t75" style="position:absolute;margin-left:0;margin-top:0;width:9in;height:432.3pt;z-index:-251658240;mso-position-horizontal:center;mso-position-horizontal-relative:margin;mso-position-vertical:center;mso-position-vertical-relative:margin" o:allowincell="f">
          <v:imagedata r:id="rId1" o:title="happy-thanksgiving-wallpaper-f07264902d7f4fdd8d0e995e76c9766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4C"/>
    <w:rsid w:val="003D3A4C"/>
    <w:rsid w:val="009E4EF8"/>
    <w:rsid w:val="00C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7BE05C"/>
  <w15:chartTrackingRefBased/>
  <w15:docId w15:val="{3B6FC383-A67B-4A92-9BA2-B6463C6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4C"/>
  </w:style>
  <w:style w:type="paragraph" w:styleId="Footer">
    <w:name w:val="footer"/>
    <w:basedOn w:val="Normal"/>
    <w:link w:val="FooterChar"/>
    <w:uiPriority w:val="99"/>
    <w:unhideWhenUsed/>
    <w:rsid w:val="003D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4C"/>
  </w:style>
  <w:style w:type="table" w:styleId="TableGrid">
    <w:name w:val="Table Grid"/>
    <w:basedOn w:val="TableNormal"/>
    <w:uiPriority w:val="39"/>
    <w:rsid w:val="003D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3D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1</cp:revision>
  <dcterms:created xsi:type="dcterms:W3CDTF">2023-10-17T18:13:00Z</dcterms:created>
  <dcterms:modified xsi:type="dcterms:W3CDTF">2023-10-17T18:28:00Z</dcterms:modified>
</cp:coreProperties>
</file>