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9DCB" w14:textId="634F0EB2" w:rsidR="006124D7" w:rsidRPr="009A1735" w:rsidRDefault="006124D7" w:rsidP="009A1735">
      <w:pPr>
        <w:rPr>
          <w:b/>
          <w:bCs/>
        </w:rPr>
      </w:pPr>
      <w:r w:rsidRPr="009A1735">
        <w:rPr>
          <w:b/>
          <w:bCs/>
          <w:sz w:val="32"/>
          <w:szCs w:val="32"/>
        </w:rPr>
        <w:t xml:space="preserve">Taylor Fussell </w:t>
      </w:r>
      <w:r w:rsidR="009A1735" w:rsidRPr="009A1735">
        <w:rPr>
          <w:b/>
          <w:bCs/>
          <w:sz w:val="32"/>
          <w:szCs w:val="32"/>
        </w:rPr>
        <w:t xml:space="preserve">                </w:t>
      </w:r>
      <w:r w:rsidRPr="009A1735">
        <w:rPr>
          <w:b/>
          <w:bCs/>
          <w:sz w:val="32"/>
          <w:szCs w:val="32"/>
        </w:rPr>
        <w:t xml:space="preserve"> </w:t>
      </w:r>
      <w:r w:rsidR="009A1735" w:rsidRPr="009A1735">
        <w:rPr>
          <w:b/>
          <w:bCs/>
          <w:sz w:val="32"/>
          <w:szCs w:val="32"/>
        </w:rPr>
        <w:t xml:space="preserve">           </w:t>
      </w:r>
      <w:r w:rsidRPr="009A1735">
        <w:rPr>
          <w:b/>
          <w:bCs/>
          <w:sz w:val="32"/>
          <w:szCs w:val="32"/>
        </w:rPr>
        <w:t>Senses Unit 10-2-23/11-24-23</w:t>
      </w:r>
      <w:r w:rsidR="009A1735" w:rsidRPr="009A1735">
        <w:rPr>
          <w:b/>
          <w:bCs/>
          <w:sz w:val="32"/>
          <w:szCs w:val="32"/>
        </w:rPr>
        <w:t xml:space="preserve"> </w:t>
      </w:r>
      <w:r w:rsidRPr="009A1735">
        <w:rPr>
          <w:b/>
          <w:bCs/>
          <w:sz w:val="32"/>
          <w:szCs w:val="32"/>
        </w:rPr>
        <w:tab/>
      </w:r>
      <w:r w:rsidR="009A1735" w:rsidRPr="009A1735">
        <w:rPr>
          <w:b/>
          <w:bCs/>
          <w:sz w:val="32"/>
          <w:szCs w:val="32"/>
        </w:rPr>
        <w:t xml:space="preserve">          </w:t>
      </w:r>
      <w:r w:rsidRPr="009A1735">
        <w:rPr>
          <w:b/>
          <w:bCs/>
          <w:sz w:val="32"/>
          <w:szCs w:val="32"/>
        </w:rPr>
        <w:t xml:space="preserve"> Week of 10-16-23  Hearing</w:t>
      </w:r>
    </w:p>
    <w:tbl>
      <w:tblPr>
        <w:tblStyle w:val="TableGrid"/>
        <w:tblW w:w="0" w:type="auto"/>
        <w:tblLook w:val="04A0" w:firstRow="1" w:lastRow="0" w:firstColumn="1" w:lastColumn="0" w:noHBand="0" w:noVBand="1"/>
      </w:tblPr>
      <w:tblGrid>
        <w:gridCol w:w="4316"/>
        <w:gridCol w:w="4317"/>
        <w:gridCol w:w="4317"/>
      </w:tblGrid>
      <w:tr w:rsidR="009A1735" w14:paraId="34D5E1D6" w14:textId="77777777" w:rsidTr="009A1735">
        <w:trPr>
          <w:trHeight w:val="458"/>
        </w:trPr>
        <w:tc>
          <w:tcPr>
            <w:tcW w:w="4316" w:type="dxa"/>
          </w:tcPr>
          <w:p w14:paraId="546AD5D8" w14:textId="1EAB58C9" w:rsidR="006124D7" w:rsidRPr="006124D7" w:rsidRDefault="006124D7" w:rsidP="006124D7">
            <w:pPr>
              <w:jc w:val="center"/>
              <w:rPr>
                <w:b/>
                <w:bCs/>
                <w:sz w:val="36"/>
                <w:szCs w:val="36"/>
              </w:rPr>
            </w:pPr>
            <w:r w:rsidRPr="006124D7">
              <w:rPr>
                <w:b/>
                <w:bCs/>
                <w:sz w:val="36"/>
                <w:szCs w:val="36"/>
              </w:rPr>
              <w:t>Standard</w:t>
            </w:r>
          </w:p>
        </w:tc>
        <w:tc>
          <w:tcPr>
            <w:tcW w:w="4317" w:type="dxa"/>
          </w:tcPr>
          <w:p w14:paraId="219A91D1" w14:textId="63A7A9EC" w:rsidR="006124D7" w:rsidRPr="006124D7" w:rsidRDefault="006124D7" w:rsidP="006124D7">
            <w:pPr>
              <w:jc w:val="center"/>
              <w:rPr>
                <w:b/>
                <w:bCs/>
                <w:sz w:val="36"/>
                <w:szCs w:val="36"/>
              </w:rPr>
            </w:pPr>
            <w:r w:rsidRPr="006124D7">
              <w:rPr>
                <w:b/>
                <w:bCs/>
                <w:sz w:val="36"/>
                <w:szCs w:val="36"/>
              </w:rPr>
              <w:t>Activity</w:t>
            </w:r>
          </w:p>
        </w:tc>
        <w:tc>
          <w:tcPr>
            <w:tcW w:w="4317" w:type="dxa"/>
          </w:tcPr>
          <w:p w14:paraId="41D8CA4E" w14:textId="1942690D" w:rsidR="006124D7" w:rsidRPr="006124D7" w:rsidRDefault="006124D7" w:rsidP="009A1735">
            <w:pPr>
              <w:jc w:val="center"/>
              <w:rPr>
                <w:b/>
                <w:bCs/>
                <w:sz w:val="36"/>
                <w:szCs w:val="36"/>
              </w:rPr>
            </w:pPr>
            <w:r w:rsidRPr="006124D7">
              <w:rPr>
                <w:b/>
                <w:bCs/>
                <w:sz w:val="36"/>
                <w:szCs w:val="36"/>
              </w:rPr>
              <w:t>Home Extension</w:t>
            </w:r>
          </w:p>
        </w:tc>
      </w:tr>
      <w:tr w:rsidR="009A1735" w14:paraId="166C2184" w14:textId="77777777" w:rsidTr="006124D7">
        <w:tc>
          <w:tcPr>
            <w:tcW w:w="4316" w:type="dxa"/>
          </w:tcPr>
          <w:p w14:paraId="5DB0FD74" w14:textId="77777777" w:rsidR="009A1735" w:rsidRDefault="009A1735" w:rsidP="006124D7">
            <w:pPr>
              <w:rPr>
                <w:b/>
                <w:sz w:val="24"/>
                <w:szCs w:val="24"/>
              </w:rPr>
            </w:pPr>
          </w:p>
          <w:p w14:paraId="64B05544" w14:textId="143C05A3" w:rsidR="006124D7" w:rsidRPr="006124D7" w:rsidRDefault="006124D7" w:rsidP="006124D7">
            <w:pPr>
              <w:rPr>
                <w:b/>
                <w:sz w:val="24"/>
                <w:szCs w:val="24"/>
              </w:rPr>
            </w:pPr>
            <w:r w:rsidRPr="006124D7">
              <w:rPr>
                <w:b/>
                <w:sz w:val="24"/>
                <w:szCs w:val="24"/>
              </w:rPr>
              <w:t>Language and Literacy</w:t>
            </w:r>
          </w:p>
          <w:p w14:paraId="517F2A55" w14:textId="6DCCCBB8" w:rsidR="006124D7" w:rsidRPr="006124D7" w:rsidRDefault="006124D7" w:rsidP="006124D7">
            <w:pPr>
              <w:rPr>
                <w:rFonts w:ascii="Times New Roman" w:eastAsia="Times New Roman" w:hAnsi="Times New Roman" w:cs="Times New Roman"/>
                <w:b/>
                <w:sz w:val="24"/>
                <w:szCs w:val="24"/>
              </w:rPr>
            </w:pPr>
            <w:r w:rsidRPr="006124D7">
              <w:rPr>
                <w:b/>
                <w:sz w:val="24"/>
                <w:szCs w:val="24"/>
              </w:rPr>
              <w:t>B. Speaking 8-18 months</w:t>
            </w:r>
            <w:r w:rsidRPr="006124D7">
              <w:rPr>
                <w:rFonts w:ascii="Times New Roman" w:eastAsia="Times New Roman" w:hAnsi="Times New Roman" w:cs="Times New Roman"/>
                <w:b/>
                <w:sz w:val="24"/>
                <w:szCs w:val="24"/>
              </w:rPr>
              <w:t>1</w:t>
            </w:r>
            <w:proofErr w:type="gramStart"/>
            <w:r w:rsidRPr="006124D7">
              <w:rPr>
                <w:rFonts w:ascii="Times New Roman" w:eastAsia="Times New Roman" w:hAnsi="Times New Roman" w:cs="Times New Roman"/>
                <w:b/>
                <w:sz w:val="24"/>
                <w:szCs w:val="24"/>
              </w:rPr>
              <w:t xml:space="preserve">. </w:t>
            </w:r>
            <w:proofErr w:type="gramEnd"/>
            <w:r w:rsidRPr="006124D7">
              <w:rPr>
                <w:rFonts w:ascii="Times New Roman" w:eastAsia="Times New Roman" w:hAnsi="Times New Roman" w:cs="Times New Roman"/>
                <w:b/>
                <w:sz w:val="24"/>
                <w:szCs w:val="24"/>
              </w:rPr>
              <w:t xml:space="preserve">Speaks and </w:t>
            </w:r>
            <w:proofErr w:type="gramStart"/>
            <w:r w:rsidRPr="006124D7">
              <w:rPr>
                <w:rFonts w:ascii="Times New Roman" w:eastAsia="Times New Roman" w:hAnsi="Times New Roman" w:cs="Times New Roman"/>
                <w:b/>
                <w:sz w:val="24"/>
                <w:szCs w:val="24"/>
              </w:rPr>
              <w:t>is understood</w:t>
            </w:r>
            <w:proofErr w:type="gramEnd"/>
            <w:r w:rsidRPr="006124D7">
              <w:rPr>
                <w:rFonts w:ascii="Times New Roman" w:eastAsia="Times New Roman" w:hAnsi="Times New Roman" w:cs="Times New Roman"/>
                <w:b/>
                <w:sz w:val="24"/>
                <w:szCs w:val="24"/>
              </w:rPr>
              <w:t xml:space="preserve"> when speaking</w:t>
            </w:r>
            <w:r w:rsidRPr="006124D7">
              <w:rPr>
                <w:b/>
                <w:sz w:val="24"/>
                <w:szCs w:val="24"/>
              </w:rPr>
              <w:t xml:space="preserve"> Benchmark,</w:t>
            </w:r>
            <w:r w:rsidRPr="006124D7">
              <w:rPr>
                <w:rFonts w:ascii="Times New Roman" w:eastAsia="Times New Roman" w:hAnsi="Times New Roman" w:cs="Times New Roman"/>
                <w:b/>
                <w:sz w:val="24"/>
                <w:szCs w:val="24"/>
              </w:rPr>
              <w:t xml:space="preserve"> a.</w:t>
            </w:r>
            <w:r w:rsidRPr="006124D7">
              <w:rPr>
                <w:b/>
                <w:sz w:val="24"/>
                <w:szCs w:val="24"/>
              </w:rPr>
              <w:t xml:space="preserve"> </w:t>
            </w:r>
            <w:r w:rsidRPr="006124D7">
              <w:rPr>
                <w:rFonts w:ascii="Times New Roman" w:eastAsia="Times New Roman" w:hAnsi="Times New Roman" w:cs="Times New Roman"/>
                <w:b/>
                <w:sz w:val="24"/>
                <w:szCs w:val="24"/>
              </w:rPr>
              <w:t>Increases vocalizations</w:t>
            </w:r>
            <w:r w:rsidRPr="006124D7">
              <w:rPr>
                <w:b/>
                <w:sz w:val="24"/>
                <w:szCs w:val="24"/>
              </w:rPr>
              <w:t>.</w:t>
            </w:r>
            <w:r w:rsidRPr="006124D7">
              <w:rPr>
                <w:rFonts w:ascii="Times New Roman" w:eastAsia="Times New Roman" w:hAnsi="Times New Roman" w:cs="Times New Roman"/>
                <w:b/>
                <w:sz w:val="24"/>
                <w:szCs w:val="24"/>
              </w:rPr>
              <w:t>18-24 months Benchmark a. Speaks using new words and phrases and is understood by familiar adult 50 percent of the time</w:t>
            </w:r>
            <w:r w:rsidRPr="006124D7">
              <w:rPr>
                <w:b/>
                <w:sz w:val="24"/>
                <w:szCs w:val="24"/>
              </w:rPr>
              <w:t>.</w:t>
            </w:r>
            <w:r w:rsidRPr="006124D7">
              <w:rPr>
                <w:rFonts w:ascii="Times New Roman" w:eastAsia="Times New Roman" w:hAnsi="Times New Roman" w:cs="Times New Roman"/>
                <w:b/>
                <w:sz w:val="24"/>
                <w:szCs w:val="24"/>
              </w:rPr>
              <w:t xml:space="preserve"> </w:t>
            </w:r>
          </w:p>
          <w:p w14:paraId="0C459DDF" w14:textId="77777777" w:rsidR="006124D7" w:rsidRPr="006124D7" w:rsidRDefault="006124D7">
            <w:pPr>
              <w:rPr>
                <w:b/>
                <w:sz w:val="24"/>
                <w:szCs w:val="24"/>
              </w:rPr>
            </w:pPr>
          </w:p>
        </w:tc>
        <w:tc>
          <w:tcPr>
            <w:tcW w:w="4317" w:type="dxa"/>
          </w:tcPr>
          <w:p w14:paraId="57847DD8" w14:textId="2D4353CC" w:rsidR="006124D7" w:rsidRDefault="006124D7">
            <w:pPr>
              <w:rPr>
                <w:b/>
                <w:sz w:val="24"/>
                <w:szCs w:val="24"/>
              </w:rPr>
            </w:pPr>
            <w:r w:rsidRPr="006124D7">
              <w:rPr>
                <w:b/>
                <w:sz w:val="24"/>
                <w:szCs w:val="24"/>
              </w:rPr>
              <w:t>Sing songs and tell or read stories to children</w:t>
            </w:r>
            <w:proofErr w:type="gramStart"/>
            <w:r w:rsidRPr="006124D7">
              <w:rPr>
                <w:b/>
                <w:sz w:val="24"/>
                <w:szCs w:val="24"/>
              </w:rPr>
              <w:t xml:space="preserve">. </w:t>
            </w:r>
            <w:proofErr w:type="gramEnd"/>
            <w:r w:rsidRPr="006124D7">
              <w:rPr>
                <w:b/>
                <w:sz w:val="24"/>
                <w:szCs w:val="24"/>
              </w:rPr>
              <w:t>Encourage children to ask questions by asking them questions throughout the day</w:t>
            </w:r>
            <w:proofErr w:type="gramStart"/>
            <w:r w:rsidRPr="006124D7">
              <w:rPr>
                <w:b/>
                <w:sz w:val="24"/>
                <w:szCs w:val="24"/>
              </w:rPr>
              <w:t xml:space="preserve">. </w:t>
            </w:r>
            <w:proofErr w:type="gramEnd"/>
            <w:r w:rsidRPr="006124D7">
              <w:rPr>
                <w:b/>
                <w:sz w:val="24"/>
                <w:szCs w:val="24"/>
              </w:rPr>
              <w:t xml:space="preserve">Provide props in dramatic play areas that encourage conversations, such as toy phones, books, puppets, dress up </w:t>
            </w:r>
            <w:r w:rsidRPr="006124D7">
              <w:rPr>
                <w:b/>
                <w:sz w:val="24"/>
                <w:szCs w:val="24"/>
              </w:rPr>
              <w:t>clothes.</w:t>
            </w:r>
          </w:p>
          <w:p w14:paraId="65C6204B" w14:textId="3DD7A7A2" w:rsidR="006124D7" w:rsidRPr="009A1735" w:rsidRDefault="006124D7">
            <w:pPr>
              <w:rPr>
                <w:b/>
                <w:i/>
                <w:iCs/>
                <w:sz w:val="24"/>
                <w:szCs w:val="24"/>
              </w:rPr>
            </w:pPr>
            <w:r w:rsidRPr="009A1735">
              <w:rPr>
                <w:b/>
                <w:i/>
                <w:iCs/>
                <w:color w:val="FF0000"/>
                <w:sz w:val="24"/>
                <w:szCs w:val="24"/>
              </w:rPr>
              <w:t xml:space="preserve">( See 5 Little Apple fingerplay on back of page) </w:t>
            </w:r>
          </w:p>
        </w:tc>
        <w:tc>
          <w:tcPr>
            <w:tcW w:w="4317" w:type="dxa"/>
          </w:tcPr>
          <w:p w14:paraId="66783983" w14:textId="77777777" w:rsidR="009A1735" w:rsidRDefault="009A1735">
            <w:pPr>
              <w:rPr>
                <w:b/>
                <w:sz w:val="24"/>
                <w:szCs w:val="24"/>
              </w:rPr>
            </w:pPr>
          </w:p>
          <w:p w14:paraId="7CD1C47E" w14:textId="07B5D9FB" w:rsidR="006124D7" w:rsidRPr="006124D7" w:rsidRDefault="006124D7">
            <w:pPr>
              <w:rPr>
                <w:b/>
                <w:sz w:val="24"/>
                <w:szCs w:val="24"/>
              </w:rPr>
            </w:pPr>
            <w:r w:rsidRPr="006124D7">
              <w:rPr>
                <w:b/>
                <w:sz w:val="24"/>
                <w:szCs w:val="24"/>
              </w:rPr>
              <w:t xml:space="preserve">Use labeling </w:t>
            </w:r>
            <w:proofErr w:type="gramStart"/>
            <w:r w:rsidRPr="006124D7">
              <w:rPr>
                <w:b/>
                <w:sz w:val="24"/>
                <w:szCs w:val="24"/>
              </w:rPr>
              <w:t>as a way to</w:t>
            </w:r>
            <w:proofErr w:type="gramEnd"/>
            <w:r w:rsidRPr="006124D7">
              <w:rPr>
                <w:b/>
                <w:sz w:val="24"/>
                <w:szCs w:val="24"/>
              </w:rPr>
              <w:t xml:space="preserve"> expand your child’s vocabulary.  Give the makes of everyday objects in your house such as light switch, trash bin, wooden spoon, stove, shelf, etc. </w:t>
            </w:r>
          </w:p>
        </w:tc>
      </w:tr>
      <w:tr w:rsidR="009A1735" w14:paraId="17B7B4D5" w14:textId="77777777" w:rsidTr="006124D7">
        <w:tc>
          <w:tcPr>
            <w:tcW w:w="4316" w:type="dxa"/>
          </w:tcPr>
          <w:p w14:paraId="716FEEAE" w14:textId="77777777" w:rsidR="009A1735" w:rsidRDefault="009A1735" w:rsidP="006124D7">
            <w:pPr>
              <w:rPr>
                <w:b/>
                <w:i/>
                <w:iCs/>
                <w:sz w:val="24"/>
                <w:szCs w:val="24"/>
              </w:rPr>
            </w:pPr>
          </w:p>
          <w:p w14:paraId="00371EC4" w14:textId="69F830AB" w:rsidR="006124D7" w:rsidRPr="006124D7" w:rsidRDefault="006124D7" w:rsidP="006124D7">
            <w:pPr>
              <w:rPr>
                <w:b/>
                <w:i/>
                <w:iCs/>
                <w:sz w:val="24"/>
                <w:szCs w:val="24"/>
              </w:rPr>
            </w:pPr>
            <w:r w:rsidRPr="006124D7">
              <w:rPr>
                <w:b/>
                <w:i/>
                <w:iCs/>
                <w:sz w:val="24"/>
                <w:szCs w:val="24"/>
              </w:rPr>
              <w:t xml:space="preserve">Scientific Inquiry </w:t>
            </w:r>
          </w:p>
          <w:p w14:paraId="6940A234" w14:textId="4B57BE94" w:rsidR="006124D7" w:rsidRPr="006124D7" w:rsidRDefault="006124D7" w:rsidP="006124D7">
            <w:pPr>
              <w:rPr>
                <w:b/>
                <w:i/>
                <w:iCs/>
                <w:sz w:val="24"/>
                <w:szCs w:val="24"/>
              </w:rPr>
            </w:pPr>
            <w:r w:rsidRPr="006124D7">
              <w:rPr>
                <w:b/>
                <w:i/>
                <w:iCs/>
                <w:sz w:val="24"/>
                <w:szCs w:val="24"/>
              </w:rPr>
              <w:t>Standard: E. Environment 8-24  months 1</w:t>
            </w:r>
            <w:proofErr w:type="gramStart"/>
            <w:r w:rsidRPr="006124D7">
              <w:rPr>
                <w:b/>
                <w:i/>
                <w:iCs/>
                <w:sz w:val="24"/>
                <w:szCs w:val="24"/>
              </w:rPr>
              <w:t xml:space="preserve">. </w:t>
            </w:r>
            <w:proofErr w:type="gramEnd"/>
            <w:r w:rsidRPr="006124D7">
              <w:rPr>
                <w:b/>
                <w:i/>
                <w:iCs/>
                <w:sz w:val="24"/>
                <w:szCs w:val="24"/>
              </w:rPr>
              <w:t>Demonstrates awareness of relationship to people, objects and living/non-living things in their environment  Benchmark a. Begins to identify familiar people and objects in the environment.</w:t>
            </w:r>
          </w:p>
          <w:p w14:paraId="4D4E95A7" w14:textId="77777777" w:rsidR="006124D7" w:rsidRPr="006124D7" w:rsidRDefault="006124D7">
            <w:pPr>
              <w:rPr>
                <w:b/>
                <w:sz w:val="24"/>
                <w:szCs w:val="24"/>
              </w:rPr>
            </w:pPr>
          </w:p>
        </w:tc>
        <w:tc>
          <w:tcPr>
            <w:tcW w:w="4317" w:type="dxa"/>
          </w:tcPr>
          <w:p w14:paraId="5ACFF332" w14:textId="3B3264FB" w:rsidR="006124D7" w:rsidRPr="006124D7" w:rsidRDefault="009A1735">
            <w:pPr>
              <w:rPr>
                <w:b/>
                <w:sz w:val="24"/>
                <w:szCs w:val="24"/>
              </w:rPr>
            </w:pPr>
            <w:r>
              <w:rPr>
                <w:b/>
                <w:noProof/>
                <w:sz w:val="24"/>
                <w:szCs w:val="24"/>
              </w:rPr>
              <w:drawing>
                <wp:anchor distT="0" distB="0" distL="114300" distR="114300" simplePos="0" relativeHeight="251658240" behindDoc="0" locked="0" layoutInCell="1" allowOverlap="1" wp14:anchorId="4C915320" wp14:editId="064BEC36">
                  <wp:simplePos x="0" y="0"/>
                  <wp:positionH relativeFrom="column">
                    <wp:posOffset>1149985</wp:posOffset>
                  </wp:positionH>
                  <wp:positionV relativeFrom="paragraph">
                    <wp:posOffset>104140</wp:posOffset>
                  </wp:positionV>
                  <wp:extent cx="1333500" cy="642620"/>
                  <wp:effectExtent l="0" t="0" r="0" b="5080"/>
                  <wp:wrapSquare wrapText="bothSides"/>
                  <wp:docPr id="75688880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888801" name="Picture 75688880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333500" cy="642620"/>
                          </a:xfrm>
                          <a:prstGeom prst="rect">
                            <a:avLst/>
                          </a:prstGeom>
                        </pic:spPr>
                      </pic:pic>
                    </a:graphicData>
                  </a:graphic>
                </wp:anchor>
              </w:drawing>
            </w:r>
            <w:r w:rsidR="006124D7" w:rsidRPr="006124D7">
              <w:rPr>
                <w:b/>
                <w:sz w:val="24"/>
                <w:szCs w:val="24"/>
              </w:rPr>
              <w:t xml:space="preserve">- Use senses to determine living and nonliving things in the environment.  Apple vs. Ball, Tree vs. Piece of wood.  Introduce living plants into the environment in the garden outside and a small </w:t>
            </w:r>
            <w:r w:rsidR="006124D7" w:rsidRPr="006124D7">
              <w:rPr>
                <w:b/>
                <w:sz w:val="24"/>
                <w:szCs w:val="24"/>
              </w:rPr>
              <w:t>nontoxic</w:t>
            </w:r>
            <w:r w:rsidR="006124D7" w:rsidRPr="006124D7">
              <w:rPr>
                <w:b/>
                <w:sz w:val="24"/>
                <w:szCs w:val="24"/>
              </w:rPr>
              <w:t xml:space="preserve"> plant in the classroom such as basil.  Read and discuss books about plants and animals.</w:t>
            </w:r>
          </w:p>
        </w:tc>
        <w:tc>
          <w:tcPr>
            <w:tcW w:w="4317" w:type="dxa"/>
          </w:tcPr>
          <w:p w14:paraId="39E455A1" w14:textId="77777777" w:rsidR="009A1735" w:rsidRDefault="009A1735">
            <w:pPr>
              <w:rPr>
                <w:b/>
                <w:sz w:val="24"/>
                <w:szCs w:val="24"/>
              </w:rPr>
            </w:pPr>
          </w:p>
          <w:p w14:paraId="76B1A299" w14:textId="54897F45" w:rsidR="006124D7" w:rsidRPr="006124D7" w:rsidRDefault="006124D7">
            <w:pPr>
              <w:rPr>
                <w:b/>
                <w:sz w:val="24"/>
                <w:szCs w:val="24"/>
              </w:rPr>
            </w:pPr>
            <w:r w:rsidRPr="006124D7">
              <w:rPr>
                <w:b/>
                <w:sz w:val="24"/>
                <w:szCs w:val="24"/>
              </w:rPr>
              <w:t>Use everyday items and plants in your home to explain and show children the difference between living and nonliving items.  Encourage your child to use their sense to tell the difference.</w:t>
            </w:r>
          </w:p>
        </w:tc>
      </w:tr>
      <w:tr w:rsidR="009A1735" w14:paraId="1E09D097" w14:textId="77777777" w:rsidTr="00393CF5">
        <w:trPr>
          <w:trHeight w:val="1880"/>
        </w:trPr>
        <w:tc>
          <w:tcPr>
            <w:tcW w:w="4316" w:type="dxa"/>
          </w:tcPr>
          <w:p w14:paraId="41613689" w14:textId="77777777" w:rsidR="009A1735" w:rsidRDefault="009A1735" w:rsidP="006124D7">
            <w:pPr>
              <w:rPr>
                <w:b/>
                <w:i/>
                <w:iCs/>
                <w:sz w:val="24"/>
                <w:szCs w:val="24"/>
              </w:rPr>
            </w:pPr>
          </w:p>
          <w:p w14:paraId="7DA0FC8F" w14:textId="27861148" w:rsidR="006124D7" w:rsidRPr="006124D7" w:rsidRDefault="006124D7" w:rsidP="00393CF5">
            <w:pPr>
              <w:rPr>
                <w:b/>
                <w:sz w:val="24"/>
                <w:szCs w:val="24"/>
              </w:rPr>
            </w:pPr>
            <w:r w:rsidRPr="006124D7">
              <w:rPr>
                <w:b/>
                <w:i/>
                <w:iCs/>
                <w:sz w:val="24"/>
                <w:szCs w:val="24"/>
              </w:rPr>
              <w:t xml:space="preserve">Approaches to learning : Persistence: 1. Pays attention for longer periods of time and </w:t>
            </w:r>
            <w:r w:rsidRPr="006124D7">
              <w:rPr>
                <w:b/>
                <w:i/>
                <w:iCs/>
                <w:sz w:val="24"/>
                <w:szCs w:val="24"/>
              </w:rPr>
              <w:t>persists</w:t>
            </w:r>
            <w:r w:rsidRPr="006124D7">
              <w:rPr>
                <w:b/>
                <w:i/>
                <w:iCs/>
                <w:sz w:val="24"/>
                <w:szCs w:val="24"/>
              </w:rPr>
              <w:t xml:space="preserve"> at preferred activities</w:t>
            </w:r>
            <w:proofErr w:type="gramStart"/>
            <w:r w:rsidRPr="006124D7">
              <w:rPr>
                <w:b/>
                <w:i/>
                <w:iCs/>
                <w:sz w:val="24"/>
                <w:szCs w:val="24"/>
              </w:rPr>
              <w:t xml:space="preserve">. </w:t>
            </w:r>
            <w:proofErr w:type="gramEnd"/>
          </w:p>
        </w:tc>
        <w:tc>
          <w:tcPr>
            <w:tcW w:w="4317" w:type="dxa"/>
          </w:tcPr>
          <w:p w14:paraId="05FEE535" w14:textId="77777777" w:rsidR="009A1735" w:rsidRDefault="009A1735">
            <w:pPr>
              <w:rPr>
                <w:b/>
                <w:sz w:val="24"/>
                <w:szCs w:val="24"/>
              </w:rPr>
            </w:pPr>
            <w:r>
              <w:rPr>
                <w:b/>
                <w:sz w:val="24"/>
                <w:szCs w:val="24"/>
              </w:rPr>
              <w:t xml:space="preserve">   </w:t>
            </w:r>
          </w:p>
          <w:p w14:paraId="2405E819" w14:textId="00384B1F" w:rsidR="009A1735" w:rsidRPr="006124D7" w:rsidRDefault="006124D7" w:rsidP="00393CF5">
            <w:pPr>
              <w:rPr>
                <w:b/>
                <w:sz w:val="24"/>
                <w:szCs w:val="24"/>
              </w:rPr>
            </w:pPr>
            <w:r w:rsidRPr="006124D7">
              <w:rPr>
                <w:b/>
                <w:sz w:val="24"/>
                <w:szCs w:val="24"/>
              </w:rPr>
              <w:t>Puzzles and cause and effect toys</w:t>
            </w:r>
            <w:r w:rsidR="009A1735">
              <w:rPr>
                <w:b/>
                <w:noProof/>
                <w:sz w:val="24"/>
                <w:szCs w:val="24"/>
              </w:rPr>
              <w:drawing>
                <wp:anchor distT="0" distB="0" distL="114300" distR="114300" simplePos="0" relativeHeight="251659264" behindDoc="1" locked="0" layoutInCell="1" allowOverlap="1" wp14:anchorId="05956967" wp14:editId="6E246BE4">
                  <wp:simplePos x="0" y="0"/>
                  <wp:positionH relativeFrom="column">
                    <wp:posOffset>102235</wp:posOffset>
                  </wp:positionH>
                  <wp:positionV relativeFrom="paragraph">
                    <wp:posOffset>66040</wp:posOffset>
                  </wp:positionV>
                  <wp:extent cx="979805" cy="645795"/>
                  <wp:effectExtent l="0" t="0" r="0" b="1905"/>
                  <wp:wrapTight wrapText="bothSides">
                    <wp:wrapPolygon edited="0">
                      <wp:start x="0" y="0"/>
                      <wp:lineTo x="0" y="21027"/>
                      <wp:lineTo x="20998" y="21027"/>
                      <wp:lineTo x="20998" y="0"/>
                      <wp:lineTo x="0" y="0"/>
                    </wp:wrapPolygon>
                  </wp:wrapTight>
                  <wp:docPr id="62420689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206898" name="Picture 624206898"/>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979805" cy="645795"/>
                          </a:xfrm>
                          <a:prstGeom prst="rect">
                            <a:avLst/>
                          </a:prstGeom>
                        </pic:spPr>
                      </pic:pic>
                    </a:graphicData>
                  </a:graphic>
                </wp:anchor>
              </w:drawing>
            </w:r>
          </w:p>
        </w:tc>
        <w:tc>
          <w:tcPr>
            <w:tcW w:w="4317" w:type="dxa"/>
          </w:tcPr>
          <w:p w14:paraId="5068837F" w14:textId="77777777" w:rsidR="009A1735" w:rsidRDefault="009A1735">
            <w:pPr>
              <w:rPr>
                <w:b/>
                <w:sz w:val="24"/>
                <w:szCs w:val="24"/>
              </w:rPr>
            </w:pPr>
          </w:p>
          <w:p w14:paraId="11A5BB29" w14:textId="497609F3" w:rsidR="006124D7" w:rsidRPr="006124D7" w:rsidRDefault="006124D7">
            <w:pPr>
              <w:rPr>
                <w:b/>
                <w:sz w:val="24"/>
                <w:szCs w:val="24"/>
              </w:rPr>
            </w:pPr>
            <w:r w:rsidRPr="006124D7">
              <w:rPr>
                <w:b/>
                <w:sz w:val="24"/>
                <w:szCs w:val="24"/>
              </w:rPr>
              <w:t>Use cause and effect toys and activities to engage children’s attention for longer periods of time</w:t>
            </w:r>
            <w:proofErr w:type="gramStart"/>
            <w:r w:rsidRPr="006124D7">
              <w:rPr>
                <w:b/>
                <w:sz w:val="24"/>
                <w:szCs w:val="24"/>
              </w:rPr>
              <w:t xml:space="preserve">. </w:t>
            </w:r>
            <w:proofErr w:type="gramEnd"/>
          </w:p>
        </w:tc>
      </w:tr>
    </w:tbl>
    <w:p w14:paraId="13E90584" w14:textId="77777777" w:rsidR="006124D7" w:rsidRDefault="006124D7" w:rsidP="006124D7"/>
    <w:sectPr w:rsidR="006124D7" w:rsidSect="009A1735">
      <w:headerReference w:type="even" r:id="rId10"/>
      <w:headerReference w:type="default" r:id="rId11"/>
      <w:headerReference w:type="first" r:id="rId12"/>
      <w:pgSz w:w="15840" w:h="12240" w:orient="landscape"/>
      <w:pgMar w:top="1440" w:right="1440" w:bottom="1440" w:left="1440" w:header="576" w:footer="432" w:gutter="0"/>
      <w:pgBorders w:offsetFrom="page">
        <w:top w:val="threeDEngrave" w:sz="24" w:space="24" w:color="C00000"/>
        <w:left w:val="threeDEngrave" w:sz="24" w:space="24" w:color="C00000"/>
        <w:bottom w:val="threeDEngrave" w:sz="24" w:space="24" w:color="C00000"/>
        <w:right w:val="threeDEngrave" w:sz="24"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A861" w14:textId="77777777" w:rsidR="00F94E54" w:rsidRDefault="00F94E54" w:rsidP="009A1735">
      <w:pPr>
        <w:spacing w:after="0" w:line="240" w:lineRule="auto"/>
      </w:pPr>
      <w:r>
        <w:separator/>
      </w:r>
    </w:p>
  </w:endnote>
  <w:endnote w:type="continuationSeparator" w:id="0">
    <w:p w14:paraId="4E9E74DA" w14:textId="77777777" w:rsidR="00F94E54" w:rsidRDefault="00F94E54" w:rsidP="009A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AC1D" w14:textId="77777777" w:rsidR="00F94E54" w:rsidRDefault="00F94E54" w:rsidP="009A1735">
      <w:pPr>
        <w:spacing w:after="0" w:line="240" w:lineRule="auto"/>
      </w:pPr>
      <w:r>
        <w:separator/>
      </w:r>
    </w:p>
  </w:footnote>
  <w:footnote w:type="continuationSeparator" w:id="0">
    <w:p w14:paraId="16A89303" w14:textId="77777777" w:rsidR="00F94E54" w:rsidRDefault="00F94E54" w:rsidP="009A1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FCD0" w14:textId="71D9A5D1" w:rsidR="009A1735" w:rsidRDefault="009A1735">
    <w:pPr>
      <w:pStyle w:val="Header"/>
    </w:pPr>
    <w:r>
      <w:rPr>
        <w:noProof/>
      </w:rPr>
      <w:pict w14:anchorId="45BB3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960641" o:spid="_x0000_s1029" type="#_x0000_t75" style="position:absolute;margin-left:0;margin-top:0;width:453.1pt;height:467.9pt;z-index:-251657216;mso-position-horizontal:center;mso-position-horizontal-relative:margin;mso-position-vertical:center;mso-position-vertical-relative:margin" o:allowincell="f">
          <v:imagedata r:id="rId1" o:title="0b10caf42272123da1a562fb9d748998"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18E1" w14:textId="77777777" w:rsidR="009A1735" w:rsidRPr="009A1735" w:rsidRDefault="009A1735" w:rsidP="009A1735">
    <w:pPr>
      <w:spacing w:after="0"/>
      <w:jc w:val="center"/>
    </w:pPr>
    <w:r w:rsidRPr="009A1735">
      <w:rPr>
        <w:sz w:val="52"/>
        <w:szCs w:val="52"/>
      </w:rPr>
      <w:t>Wonderful Ones Weekly Peek</w:t>
    </w:r>
  </w:p>
  <w:p w14:paraId="0AEC96F6" w14:textId="393C7B11" w:rsidR="009A1735" w:rsidRDefault="009A1735">
    <w:pPr>
      <w:pStyle w:val="Header"/>
    </w:pPr>
    <w:r>
      <w:rPr>
        <w:noProof/>
      </w:rPr>
      <w:pict w14:anchorId="604A1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960642" o:spid="_x0000_s1030" type="#_x0000_t75" style="position:absolute;margin-left:0;margin-top:0;width:453.1pt;height:467.9pt;z-index:-251656192;mso-position-horizontal:center;mso-position-horizontal-relative:margin;mso-position-vertical:center;mso-position-vertical-relative:margin" o:allowincell="f">
          <v:imagedata r:id="rId1" o:title="0b10caf42272123da1a562fb9d748998"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3FBA" w14:textId="0B0A6382" w:rsidR="009A1735" w:rsidRDefault="009A1735">
    <w:pPr>
      <w:pStyle w:val="Header"/>
    </w:pPr>
    <w:r>
      <w:rPr>
        <w:noProof/>
      </w:rPr>
      <w:pict w14:anchorId="28983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960640" o:spid="_x0000_s1028" type="#_x0000_t75" style="position:absolute;margin-left:0;margin-top:0;width:453.1pt;height:467.9pt;z-index:-251658240;mso-position-horizontal:center;mso-position-horizontal-relative:margin;mso-position-vertical:center;mso-position-vertical-relative:margin" o:allowincell="f">
          <v:imagedata r:id="rId1" o:title="0b10caf42272123da1a562fb9d748998"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D7"/>
    <w:rsid w:val="00393CF5"/>
    <w:rsid w:val="006124D7"/>
    <w:rsid w:val="006C673C"/>
    <w:rsid w:val="009A1735"/>
    <w:rsid w:val="009E4EF8"/>
    <w:rsid w:val="00F9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F74D6"/>
  <w15:chartTrackingRefBased/>
  <w15:docId w15:val="{0901008F-F098-4248-B62D-44FA82A2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735"/>
  </w:style>
  <w:style w:type="paragraph" w:styleId="Footer">
    <w:name w:val="footer"/>
    <w:basedOn w:val="Normal"/>
    <w:link w:val="FooterChar"/>
    <w:uiPriority w:val="99"/>
    <w:unhideWhenUsed/>
    <w:rsid w:val="009A1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ichnaunuong.com/what-are-the-examples-of-living-thing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mazon.com/MoonCastle-Interactive-Animals-Toddlers-Learning/dp/B07LCV9NN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 Early Childhood Center</dc:creator>
  <cp:keywords/>
  <dc:description/>
  <cp:lastModifiedBy>Sacred Heart Early Childhood Center</cp:lastModifiedBy>
  <cp:revision>2</cp:revision>
  <cp:lastPrinted>2023-10-17T14:19:00Z</cp:lastPrinted>
  <dcterms:created xsi:type="dcterms:W3CDTF">2023-10-17T13:58:00Z</dcterms:created>
  <dcterms:modified xsi:type="dcterms:W3CDTF">2023-10-17T17:31:00Z</dcterms:modified>
</cp:coreProperties>
</file>