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385B51" w:rsidRDefault="00A228C3" w:rsidP="00A228C3">
      <w:pPr>
        <w:jc w:val="center"/>
        <w:rPr>
          <w:rFonts w:ascii="Levenim MT" w:hAnsi="Levenim MT" w:cs="Levenim MT"/>
          <w:b/>
          <w:bCs/>
          <w:sz w:val="40"/>
          <w:szCs w:val="40"/>
        </w:rPr>
      </w:pPr>
      <w:r w:rsidRPr="00385B51">
        <w:rPr>
          <w:rFonts w:ascii="Levenim MT" w:hAnsi="Levenim MT" w:cs="Levenim MT" w:hint="cs"/>
          <w:noProof/>
        </w:rPr>
        <w:drawing>
          <wp:anchor distT="0" distB="0" distL="114300" distR="114300" simplePos="0" relativeHeight="251659264" behindDoc="1" locked="0" layoutInCell="1" allowOverlap="1" wp14:anchorId="0519883E" wp14:editId="68EF9B66">
            <wp:simplePos x="0" y="0"/>
            <wp:positionH relativeFrom="margin">
              <wp:posOffset>3697605</wp:posOffset>
            </wp:positionH>
            <wp:positionV relativeFrom="margin">
              <wp:posOffset>-64904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Pr="00385B51" w:rsidRDefault="00A228C3" w:rsidP="00385B51">
      <w:pPr>
        <w:rPr>
          <w:rFonts w:ascii="Levenim MT" w:hAnsi="Levenim MT" w:cs="Levenim MT"/>
          <w:b/>
          <w:bCs/>
          <w:sz w:val="40"/>
          <w:szCs w:val="40"/>
        </w:rPr>
      </w:pPr>
    </w:p>
    <w:p w14:paraId="05E01A92" w14:textId="77777777" w:rsidR="00A228C3" w:rsidRPr="00385B51" w:rsidRDefault="00A228C3" w:rsidP="00A228C3">
      <w:pPr>
        <w:jc w:val="center"/>
        <w:rPr>
          <w:rFonts w:ascii="Levenim MT" w:hAnsi="Levenim MT" w:cs="Levenim MT"/>
          <w:b/>
          <w:bCs/>
          <w:sz w:val="2"/>
          <w:szCs w:val="2"/>
        </w:rPr>
      </w:pPr>
    </w:p>
    <w:p w14:paraId="0168029F" w14:textId="179198A1" w:rsidR="00A228C3" w:rsidRPr="00385B51" w:rsidRDefault="00A228C3" w:rsidP="00385B51">
      <w:pPr>
        <w:jc w:val="center"/>
        <w:rPr>
          <w:rFonts w:ascii="Levenim MT" w:hAnsi="Levenim MT" w:cs="Levenim MT"/>
          <w:b/>
          <w:bCs/>
          <w:sz w:val="40"/>
          <w:szCs w:val="40"/>
        </w:rPr>
      </w:pPr>
      <w:r w:rsidRPr="00385B51">
        <w:rPr>
          <w:rFonts w:ascii="Levenim MT" w:hAnsi="Levenim MT" w:cs="Levenim MT" w:hint="cs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680"/>
        <w:gridCol w:w="4811"/>
      </w:tblGrid>
      <w:tr w:rsidR="00BD6A67" w:rsidRPr="00BD6A67" w14:paraId="3C6E3963" w14:textId="77777777" w:rsidTr="00BD6A67">
        <w:trPr>
          <w:trHeight w:val="647"/>
        </w:trPr>
        <w:tc>
          <w:tcPr>
            <w:tcW w:w="4765" w:type="dxa"/>
            <w:vAlign w:val="center"/>
          </w:tcPr>
          <w:p w14:paraId="0E394E5A" w14:textId="77777777" w:rsidR="00A228C3" w:rsidRPr="00BD6A67" w:rsidRDefault="00A228C3" w:rsidP="00634D7B">
            <w:pPr>
              <w:jc w:val="center"/>
              <w:rPr>
                <w:rFonts w:ascii="Tenorite" w:hAnsi="Tenorite" w:cs="Levenim MT"/>
                <w:b/>
                <w:bCs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4680" w:type="dxa"/>
            <w:vAlign w:val="center"/>
          </w:tcPr>
          <w:p w14:paraId="477F9C33" w14:textId="77777777" w:rsidR="00A228C3" w:rsidRPr="00BD6A67" w:rsidRDefault="00A228C3" w:rsidP="00634D7B">
            <w:pPr>
              <w:jc w:val="center"/>
              <w:rPr>
                <w:rFonts w:ascii="Tenorite" w:hAnsi="Tenorite" w:cs="Levenim MT"/>
                <w:b/>
                <w:bCs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811" w:type="dxa"/>
            <w:vAlign w:val="center"/>
          </w:tcPr>
          <w:p w14:paraId="05983D24" w14:textId="77777777" w:rsidR="00A228C3" w:rsidRPr="00BD6A67" w:rsidRDefault="00A228C3" w:rsidP="00634D7B">
            <w:pPr>
              <w:jc w:val="center"/>
              <w:rPr>
                <w:rFonts w:ascii="Tenorite" w:hAnsi="Tenorite" w:cs="Levenim MT"/>
                <w:b/>
                <w:bCs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b/>
                <w:bCs/>
                <w:sz w:val="20"/>
                <w:szCs w:val="20"/>
              </w:rPr>
              <w:t>Home Extension Activity</w:t>
            </w:r>
          </w:p>
        </w:tc>
      </w:tr>
      <w:tr w:rsidR="00BD6A67" w:rsidRPr="00BD6A67" w14:paraId="1A1A9740" w14:textId="77777777" w:rsidTr="00BD6A67">
        <w:trPr>
          <w:trHeight w:val="2186"/>
        </w:trPr>
        <w:tc>
          <w:tcPr>
            <w:tcW w:w="4765" w:type="dxa"/>
          </w:tcPr>
          <w:p w14:paraId="69C2C548" w14:textId="5487AD44" w:rsidR="00FD1BB4" w:rsidRPr="00BD6A67" w:rsidRDefault="00032B81" w:rsidP="00032B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>Represents ideas and observations through drawings or using other forms of representation (e.g., manipulatives or different objects)</w:t>
            </w:r>
          </w:p>
        </w:tc>
        <w:tc>
          <w:tcPr>
            <w:tcW w:w="4680" w:type="dxa"/>
          </w:tcPr>
          <w:p w14:paraId="0735ADA2" w14:textId="16742B6E" w:rsidR="0081771C" w:rsidRPr="00BD6A67" w:rsidRDefault="008A5AC9" w:rsidP="00BD6A67">
            <w:pPr>
              <w:ind w:left="288"/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Blue </w:t>
            </w:r>
            <w:r w:rsidR="00BD6A67" w:rsidRPr="00BD6A67">
              <w:rPr>
                <w:rFonts w:ascii="Tenorite" w:hAnsi="Tenorite" w:cs="Levenim MT"/>
                <w:sz w:val="20"/>
                <w:szCs w:val="20"/>
              </w:rPr>
              <w:t>–</w:t>
            </w:r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 </w:t>
            </w:r>
            <w:r w:rsidR="00BD6A67" w:rsidRPr="00BD6A67">
              <w:rPr>
                <w:rFonts w:ascii="Tenorite" w:hAnsi="Tenorite" w:cs="Levenim MT"/>
                <w:sz w:val="20"/>
                <w:szCs w:val="20"/>
              </w:rPr>
              <w:t>Monet</w:t>
            </w:r>
          </w:p>
          <w:p w14:paraId="55EB2D11" w14:textId="76DC9FA1" w:rsidR="00BD6A67" w:rsidRPr="00BD6A67" w:rsidRDefault="00BD6A67" w:rsidP="00BD6A67">
            <w:pPr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/>
                <w:noProof/>
                <w:sz w:val="96"/>
                <w:szCs w:val="38"/>
              </w:rPr>
              <w:drawing>
                <wp:anchor distT="0" distB="0" distL="114300" distR="114300" simplePos="0" relativeHeight="251663360" behindDoc="0" locked="0" layoutInCell="1" allowOverlap="1" wp14:anchorId="3169FDD4" wp14:editId="21B21A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13970</wp:posOffset>
                  </wp:positionV>
                  <wp:extent cx="1036320" cy="1006475"/>
                  <wp:effectExtent l="0" t="0" r="5080" b="0"/>
                  <wp:wrapSquare wrapText="bothSides"/>
                  <wp:docPr id="2" name="Picture 2" descr="A bridge over a riv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ridge over a river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6A67">
              <w:rPr>
                <w:rFonts w:ascii="Tenorite" w:hAnsi="Tenorite" w:cs="Levenim MT"/>
                <w:sz w:val="20"/>
                <w:szCs w:val="20"/>
              </w:rPr>
              <w:t>The children will be fingerpainting on a small canvas using shades of blue and green.</w:t>
            </w:r>
          </w:p>
          <w:p w14:paraId="76D0BE04" w14:textId="623E7965" w:rsidR="00BD6A67" w:rsidRPr="00BD6A67" w:rsidRDefault="00BD6A67" w:rsidP="00BD6A67">
            <w:pPr>
              <w:ind w:left="288"/>
              <w:rPr>
                <w:rFonts w:ascii="Tenorite" w:hAnsi="Tenorite" w:cs="Levenim MT"/>
                <w:sz w:val="20"/>
                <w:szCs w:val="20"/>
              </w:rPr>
            </w:pPr>
          </w:p>
        </w:tc>
        <w:tc>
          <w:tcPr>
            <w:tcW w:w="4811" w:type="dxa"/>
          </w:tcPr>
          <w:p w14:paraId="41169338" w14:textId="5C98C673" w:rsidR="00A228C3" w:rsidRPr="00BD6A67" w:rsidRDefault="00BD6A67" w:rsidP="006511CA">
            <w:pPr>
              <w:rPr>
                <w:rFonts w:ascii="Tenorite" w:hAnsi="Tenorite"/>
                <w:sz w:val="20"/>
                <w:szCs w:val="20"/>
              </w:rPr>
            </w:pPr>
            <w:r>
              <w:rPr>
                <w:rFonts w:ascii="Tenorite" w:hAnsi="Tenorite"/>
                <w:sz w:val="20"/>
                <w:szCs w:val="20"/>
              </w:rPr>
              <w:t xml:space="preserve">Fingerpainting does not need to be messy.  Try using finger paint designed for the bathtub. </w:t>
            </w:r>
            <w:r>
              <w:rPr>
                <w:rFonts w:ascii="Tenorite" w:hAnsi="Tenorite"/>
                <w:noProof/>
                <w:sz w:val="20"/>
                <w:szCs w:val="20"/>
              </w:rPr>
              <w:drawing>
                <wp:inline distT="0" distB="0" distL="0" distR="0" wp14:anchorId="6C020A82" wp14:editId="7A061384">
                  <wp:extent cx="1761955" cy="107321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99" cy="111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5D0F" w:rsidRPr="00BD6A67">
              <w:rPr>
                <w:rFonts w:ascii="Tenorite" w:hAnsi="Tenorite"/>
                <w:sz w:val="20"/>
                <w:szCs w:val="20"/>
              </w:rPr>
              <w:fldChar w:fldCharType="begin"/>
            </w:r>
            <w:r w:rsidR="00C25D0F" w:rsidRPr="00BD6A67">
              <w:rPr>
                <w:rFonts w:ascii="Tenorite" w:hAnsi="Tenorite"/>
                <w:sz w:val="20"/>
                <w:szCs w:val="20"/>
              </w:rPr>
              <w:instrText xml:space="preserve"> INCLUDEPICTURE "/var/folders/g_/r3lx84295dg004d9_9t63w780000gn/T/com.microsoft.Word/WebArchiveCopyPasteTempFiles/1423622_1674671_ans_17687eefe41146339bfce96033e08ad0.png" \* MERGEFORMATINET </w:instrText>
            </w:r>
            <w:r w:rsidR="00000000" w:rsidRPr="00BD6A67">
              <w:rPr>
                <w:rFonts w:ascii="Tenorite" w:hAnsi="Tenorite"/>
                <w:sz w:val="20"/>
                <w:szCs w:val="20"/>
              </w:rPr>
              <w:fldChar w:fldCharType="separate"/>
            </w:r>
            <w:r w:rsidR="00C25D0F" w:rsidRPr="00BD6A67">
              <w:rPr>
                <w:rFonts w:ascii="Tenorite" w:hAnsi="Tenorite"/>
                <w:sz w:val="20"/>
                <w:szCs w:val="20"/>
              </w:rPr>
              <w:fldChar w:fldCharType="end"/>
            </w:r>
          </w:p>
        </w:tc>
      </w:tr>
      <w:tr w:rsidR="00BD6A67" w:rsidRPr="00BD6A67" w14:paraId="7D0E986F" w14:textId="77777777" w:rsidTr="00BD6A67">
        <w:trPr>
          <w:trHeight w:val="1584"/>
        </w:trPr>
        <w:tc>
          <w:tcPr>
            <w:tcW w:w="4765" w:type="dxa"/>
          </w:tcPr>
          <w:p w14:paraId="7D9306F5" w14:textId="77777777" w:rsidR="00032B81" w:rsidRPr="00BD6A67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>Participates in group sorting and data collection</w:t>
            </w:r>
          </w:p>
          <w:p w14:paraId="092925CE" w14:textId="1AE36191" w:rsidR="00A228C3" w:rsidRPr="00BD6A67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Describes what objects are used for and </w:t>
            </w:r>
            <w:proofErr w:type="gramStart"/>
            <w:r w:rsidRPr="00BD6A67">
              <w:rPr>
                <w:rFonts w:ascii="Tenorite" w:hAnsi="Tenorite" w:cs="Levenim MT"/>
                <w:sz w:val="20"/>
                <w:szCs w:val="20"/>
              </w:rPr>
              <w:t>is able to</w:t>
            </w:r>
            <w:proofErr w:type="gramEnd"/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 express ideas (e.g., names some colors, shapes, and says full name)</w:t>
            </w:r>
          </w:p>
        </w:tc>
        <w:tc>
          <w:tcPr>
            <w:tcW w:w="4680" w:type="dxa"/>
          </w:tcPr>
          <w:p w14:paraId="3FBD9EB7" w14:textId="77777777" w:rsidR="00A228C3" w:rsidRPr="00BD6A67" w:rsidRDefault="00FD1A66" w:rsidP="00BD6A67">
            <w:pPr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>Color Hunt:</w:t>
            </w:r>
          </w:p>
          <w:p w14:paraId="0A9C021E" w14:textId="51843D47" w:rsidR="00FD1A66" w:rsidRPr="00BD6A67" w:rsidRDefault="00FD1A66" w:rsidP="00BD6A67">
            <w:pPr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>The children will pick a card out of a box and then find an object in the classroom which makes the color on the card.</w:t>
            </w:r>
          </w:p>
        </w:tc>
        <w:tc>
          <w:tcPr>
            <w:tcW w:w="4811" w:type="dxa"/>
          </w:tcPr>
          <w:p w14:paraId="1E09E7CE" w14:textId="30347585" w:rsidR="00A228C3" w:rsidRPr="00BD6A67" w:rsidRDefault="00FD1A66" w:rsidP="00634D7B">
            <w:pPr>
              <w:ind w:left="288"/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The color hunt game can be played at home.  A great time to do it is at clean-up time.  Ask your child to put away the blue items and then the red ones and so on until the room is </w:t>
            </w:r>
            <w:proofErr w:type="gramStart"/>
            <w:r w:rsidRPr="00BD6A67">
              <w:rPr>
                <w:rFonts w:ascii="Tenorite" w:hAnsi="Tenorite" w:cs="Levenim MT"/>
                <w:sz w:val="20"/>
                <w:szCs w:val="20"/>
              </w:rPr>
              <w:t>clean.</w:t>
            </w:r>
            <w:r w:rsidR="00E84030" w:rsidRPr="00BD6A67">
              <w:rPr>
                <w:rFonts w:ascii="Tenorite" w:hAnsi="Tenorite" w:cs="Levenim MT"/>
                <w:sz w:val="20"/>
                <w:szCs w:val="20"/>
              </w:rPr>
              <w:t>.</w:t>
            </w:r>
            <w:proofErr w:type="gramEnd"/>
          </w:p>
        </w:tc>
      </w:tr>
      <w:tr w:rsidR="00BD6A67" w:rsidRPr="00BD6A67" w14:paraId="0210068E" w14:textId="77777777" w:rsidTr="00BD6A67">
        <w:trPr>
          <w:trHeight w:val="1584"/>
        </w:trPr>
        <w:tc>
          <w:tcPr>
            <w:tcW w:w="4765" w:type="dxa"/>
          </w:tcPr>
          <w:p w14:paraId="07C1EF56" w14:textId="77777777" w:rsidR="0056508D" w:rsidRPr="00BD6A67" w:rsidRDefault="0056508D" w:rsidP="0056508D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Describes what objects are used for and </w:t>
            </w:r>
            <w:proofErr w:type="gramStart"/>
            <w:r w:rsidRPr="00BD6A67">
              <w:rPr>
                <w:rFonts w:ascii="Tenorite" w:hAnsi="Tenorite" w:cs="Levenim MT"/>
                <w:sz w:val="20"/>
                <w:szCs w:val="20"/>
              </w:rPr>
              <w:t>is able to</w:t>
            </w:r>
            <w:proofErr w:type="gramEnd"/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 express ideas (e.g., names some colors, shapes, and says full name)</w:t>
            </w:r>
          </w:p>
          <w:p w14:paraId="3F045896" w14:textId="34FC88B5" w:rsidR="00A228C3" w:rsidRPr="00BD6A67" w:rsidRDefault="0056508D" w:rsidP="0056508D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>Begins to demonstrate knowledge of verbal conversational rules (e.g., appropriately takes turns, does not interrupt, uses appropriate verbal expressions and uses appropriate intonation)</w:t>
            </w:r>
          </w:p>
        </w:tc>
        <w:tc>
          <w:tcPr>
            <w:tcW w:w="4680" w:type="dxa"/>
          </w:tcPr>
          <w:p w14:paraId="194B1FD1" w14:textId="27224794" w:rsidR="006511CA" w:rsidRPr="00BD6A67" w:rsidRDefault="0056508D" w:rsidP="006511CA">
            <w:pPr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A50F410" wp14:editId="7F8DD42D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0</wp:posOffset>
                  </wp:positionV>
                  <wp:extent cx="1363980" cy="1499235"/>
                  <wp:effectExtent l="0" t="0" r="0" b="0"/>
                  <wp:wrapSquare wrapText="bothSides"/>
                  <wp:docPr id="18" name="Picture 1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graphical user interface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44" t="18057"/>
                          <a:stretch/>
                        </pic:blipFill>
                        <pic:spPr bwMode="auto">
                          <a:xfrm>
                            <a:off x="0" y="0"/>
                            <a:ext cx="1363980" cy="149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1CA" w:rsidRPr="00BD6A67">
              <w:rPr>
                <w:rFonts w:ascii="Tenorite" w:hAnsi="Tenorite" w:cs="Levenim MT"/>
                <w:sz w:val="20"/>
                <w:szCs w:val="20"/>
              </w:rPr>
              <w:t>Roll and cover Color Game</w:t>
            </w:r>
          </w:p>
          <w:p w14:paraId="4B7EFB86" w14:textId="370788E9" w:rsidR="006511CA" w:rsidRPr="00BD6A67" w:rsidRDefault="006511CA" w:rsidP="006511CA">
            <w:pPr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The child rolls the die and then matches the number to the color on the key.  Then they cover that many of the colored </w:t>
            </w:r>
            <w:r w:rsidR="0056508D" w:rsidRPr="00BD6A67">
              <w:rPr>
                <w:rFonts w:ascii="Tenorite" w:hAnsi="Tenorite" w:cs="Levenim MT"/>
                <w:sz w:val="20"/>
                <w:szCs w:val="20"/>
              </w:rPr>
              <w:t>obejcts</w:t>
            </w:r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 on the game board.</w:t>
            </w:r>
          </w:p>
          <w:p w14:paraId="0DF5FCFA" w14:textId="702F7476" w:rsidR="00A228C3" w:rsidRPr="00BD6A67" w:rsidRDefault="00A228C3" w:rsidP="006511CA">
            <w:pPr>
              <w:ind w:left="288"/>
              <w:rPr>
                <w:rFonts w:ascii="Tenorite" w:hAnsi="Tenorite" w:cs="Levenim MT"/>
                <w:sz w:val="20"/>
                <w:szCs w:val="20"/>
              </w:rPr>
            </w:pPr>
          </w:p>
        </w:tc>
        <w:tc>
          <w:tcPr>
            <w:tcW w:w="4811" w:type="dxa"/>
          </w:tcPr>
          <w:p w14:paraId="30F6AB22" w14:textId="0415983F" w:rsidR="00A228C3" w:rsidRPr="00BD6A67" w:rsidRDefault="0056508D" w:rsidP="00634D7B">
            <w:pPr>
              <w:ind w:left="288"/>
              <w:rPr>
                <w:rFonts w:ascii="Tenorite" w:hAnsi="Tenorite" w:cs="Levenim MT"/>
                <w:sz w:val="20"/>
                <w:szCs w:val="20"/>
              </w:rPr>
            </w:pPr>
            <w:r w:rsidRPr="00BD6A67">
              <w:rPr>
                <w:rFonts w:ascii="Tenorite" w:hAnsi="Tenorite" w:cs="Levenim MT"/>
                <w:sz w:val="20"/>
                <w:szCs w:val="20"/>
              </w:rPr>
              <w:t>Three is the perfect age to start playing simple games with your child.  Games such as “Hi Ho Cherry-O”, “Go Fish”, and “Candy Land” are just a few examples.  Play</w:t>
            </w:r>
            <w:r w:rsidR="00FD1A66" w:rsidRPr="00BD6A67">
              <w:rPr>
                <w:rFonts w:ascii="Tenorite" w:hAnsi="Tenorite" w:cs="Levenim MT"/>
                <w:sz w:val="20"/>
                <w:szCs w:val="20"/>
              </w:rPr>
              <w:t xml:space="preserve">ing </w:t>
            </w:r>
            <w:r w:rsidRPr="00BD6A67">
              <w:rPr>
                <w:rFonts w:ascii="Tenorite" w:hAnsi="Tenorite" w:cs="Levenim MT"/>
                <w:sz w:val="20"/>
                <w:szCs w:val="20"/>
              </w:rPr>
              <w:t xml:space="preserve">these types of games teaches your child how to take turns and be patient, </w:t>
            </w:r>
            <w:r w:rsidR="00EC4E79" w:rsidRPr="00BD6A67">
              <w:rPr>
                <w:rFonts w:ascii="Tenorite" w:hAnsi="Tenorite" w:cs="Levenim MT"/>
                <w:sz w:val="20"/>
                <w:szCs w:val="20"/>
              </w:rPr>
              <w:t>how to remember and follow the rules and how to accept losing. Don’t wait! Start now playing organized games with your child.</w:t>
            </w:r>
          </w:p>
        </w:tc>
      </w:tr>
    </w:tbl>
    <w:p w14:paraId="7D810A8A" w14:textId="51683E13" w:rsidR="001D376D" w:rsidRPr="00385B51" w:rsidRDefault="00A228C3" w:rsidP="00A228C3">
      <w:pPr>
        <w:spacing w:before="120" w:after="100" w:afterAutospacing="1"/>
        <w:rPr>
          <w:rFonts w:ascii="Levenim MT" w:hAnsi="Levenim MT" w:cs="Levenim MT"/>
          <w:sz w:val="28"/>
          <w:szCs w:val="28"/>
        </w:rPr>
      </w:pPr>
      <w:r w:rsidRPr="00385B51">
        <w:rPr>
          <w:rFonts w:ascii="Levenim MT" w:hAnsi="Levenim MT" w:cs="Levenim MT" w:hint="cs"/>
          <w:b/>
          <w:bCs/>
          <w:sz w:val="28"/>
          <w:szCs w:val="28"/>
        </w:rPr>
        <w:t>Parent Resources:</w:t>
      </w:r>
      <w:r w:rsidRPr="00385B51">
        <w:rPr>
          <w:rFonts w:ascii="Levenim MT" w:hAnsi="Levenim MT" w:cs="Levenim MT" w:hint="cs"/>
          <w:sz w:val="28"/>
          <w:szCs w:val="28"/>
        </w:rPr>
        <w:t xml:space="preserve"> </w:t>
      </w:r>
      <w:r w:rsidR="004766C5" w:rsidRPr="00385B51">
        <w:rPr>
          <w:rFonts w:ascii="Levenim MT" w:hAnsi="Levenim MT" w:cs="Levenim MT" w:hint="cs"/>
          <w:sz w:val="28"/>
          <w:szCs w:val="28"/>
        </w:rPr>
        <w:t>The color for this week is blue.</w:t>
      </w:r>
    </w:p>
    <w:sectPr w:rsidR="001D376D" w:rsidRPr="00385B51" w:rsidSect="00A228C3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E361" w14:textId="77777777" w:rsidR="00AA1EC4" w:rsidRDefault="00AA1EC4" w:rsidP="00A228C3">
      <w:r>
        <w:separator/>
      </w:r>
    </w:p>
  </w:endnote>
  <w:endnote w:type="continuationSeparator" w:id="0">
    <w:p w14:paraId="63C2E4E0" w14:textId="77777777" w:rsidR="00AA1EC4" w:rsidRDefault="00AA1EC4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9D44" w14:textId="77777777" w:rsidR="00AA1EC4" w:rsidRDefault="00AA1EC4" w:rsidP="00A228C3">
      <w:r>
        <w:separator/>
      </w:r>
    </w:p>
  </w:footnote>
  <w:footnote w:type="continuationSeparator" w:id="0">
    <w:p w14:paraId="5C2F2BA2" w14:textId="77777777" w:rsidR="00AA1EC4" w:rsidRDefault="00AA1EC4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6BD7FBB2" w:rsidR="00A228C3" w:rsidRPr="00385B51" w:rsidRDefault="00A228C3">
    <w:pPr>
      <w:pStyle w:val="Header"/>
      <w:rPr>
        <w:rFonts w:ascii="Levenim MT" w:hAnsi="Levenim MT" w:cs="Levenim MT"/>
        <w:sz w:val="28"/>
        <w:szCs w:val="28"/>
      </w:rPr>
    </w:pPr>
    <w:r w:rsidRPr="00385B51">
      <w:rPr>
        <w:rFonts w:ascii="Levenim MT" w:hAnsi="Levenim MT" w:cs="Levenim MT" w:hint="cs"/>
        <w:sz w:val="28"/>
        <w:szCs w:val="28"/>
      </w:rPr>
      <w:t xml:space="preserve">Preschool </w:t>
    </w:r>
    <w:r w:rsidR="00385B51">
      <w:rPr>
        <w:rFonts w:ascii="Levenim MT" w:hAnsi="Levenim MT" w:cs="Levenim MT"/>
        <w:sz w:val="28"/>
        <w:szCs w:val="28"/>
      </w:rPr>
      <w:t>1</w:t>
    </w:r>
    <w:r w:rsidRPr="00385B51">
      <w:rPr>
        <w:rFonts w:ascii="Levenim MT" w:hAnsi="Levenim MT" w:cs="Levenim MT" w:hint="cs"/>
        <w:sz w:val="28"/>
        <w:szCs w:val="28"/>
      </w:rPr>
      <w:ptab w:relativeTo="margin" w:alignment="center" w:leader="none"/>
    </w:r>
    <w:r w:rsidRPr="00385B51">
      <w:rPr>
        <w:rFonts w:ascii="Levenim MT" w:hAnsi="Levenim MT" w:cs="Levenim MT" w:hint="cs"/>
        <w:sz w:val="28"/>
        <w:szCs w:val="28"/>
      </w:rPr>
      <w:ptab w:relativeTo="margin" w:alignment="right" w:leader="none"/>
    </w:r>
    <w:r w:rsidRPr="00385B51">
      <w:rPr>
        <w:rFonts w:ascii="Levenim MT" w:hAnsi="Levenim MT" w:cs="Levenim MT" w:hint="cs"/>
        <w:sz w:val="28"/>
        <w:szCs w:val="28"/>
      </w:rPr>
      <w:t xml:space="preserve">Week of </w:t>
    </w:r>
    <w:r w:rsidR="0058443C" w:rsidRPr="00385B51">
      <w:rPr>
        <w:rFonts w:ascii="Levenim MT" w:hAnsi="Levenim MT" w:cs="Levenim MT" w:hint="cs"/>
        <w:sz w:val="28"/>
        <w:szCs w:val="28"/>
      </w:rPr>
      <w:t>January</w:t>
    </w:r>
    <w:r w:rsidR="00E7400E" w:rsidRPr="00385B51">
      <w:rPr>
        <w:rFonts w:ascii="Levenim MT" w:hAnsi="Levenim MT" w:cs="Levenim MT" w:hint="cs"/>
        <w:sz w:val="28"/>
        <w:szCs w:val="28"/>
      </w:rPr>
      <w:t xml:space="preserve"> </w:t>
    </w:r>
    <w:r w:rsidR="00032B81" w:rsidRPr="00385B51">
      <w:rPr>
        <w:rFonts w:ascii="Levenim MT" w:hAnsi="Levenim MT" w:cs="Levenim MT" w:hint="cs"/>
        <w:sz w:val="28"/>
        <w:szCs w:val="28"/>
      </w:rPr>
      <w:t>1</w:t>
    </w:r>
    <w:r w:rsidR="00BD6A67">
      <w:rPr>
        <w:rFonts w:ascii="Levenim MT" w:hAnsi="Levenim MT" w:cs="Levenim MT"/>
        <w:sz w:val="28"/>
        <w:szCs w:val="28"/>
      </w:rPr>
      <w:t>6</w:t>
    </w:r>
    <w:r w:rsidRPr="00385B51">
      <w:rPr>
        <w:rFonts w:ascii="Levenim MT" w:hAnsi="Levenim MT" w:cs="Levenim MT" w:hint="cs"/>
        <w:sz w:val="28"/>
        <w:szCs w:val="28"/>
      </w:rPr>
      <w:t>, 202</w:t>
    </w:r>
    <w:r w:rsidR="00BD6A67">
      <w:rPr>
        <w:rFonts w:ascii="Levenim MT" w:hAnsi="Levenim MT" w:cs="Levenim MT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8F2D9F"/>
    <w:multiLevelType w:val="hybridMultilevel"/>
    <w:tmpl w:val="AF06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38BE"/>
    <w:multiLevelType w:val="hybridMultilevel"/>
    <w:tmpl w:val="1D468F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347441571">
    <w:abstractNumId w:val="0"/>
  </w:num>
  <w:num w:numId="2" w16cid:durableId="1963027767">
    <w:abstractNumId w:val="2"/>
  </w:num>
  <w:num w:numId="3" w16cid:durableId="139978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14B6F"/>
    <w:rsid w:val="00032B81"/>
    <w:rsid w:val="0003500A"/>
    <w:rsid w:val="000D37C2"/>
    <w:rsid w:val="0012660D"/>
    <w:rsid w:val="001748A3"/>
    <w:rsid w:val="002345CC"/>
    <w:rsid w:val="00323E8C"/>
    <w:rsid w:val="003410B5"/>
    <w:rsid w:val="00342D50"/>
    <w:rsid w:val="0035540B"/>
    <w:rsid w:val="00385B51"/>
    <w:rsid w:val="004766C5"/>
    <w:rsid w:val="004904A4"/>
    <w:rsid w:val="004E4703"/>
    <w:rsid w:val="004F35AD"/>
    <w:rsid w:val="0056508D"/>
    <w:rsid w:val="0058443C"/>
    <w:rsid w:val="005B4891"/>
    <w:rsid w:val="005E449D"/>
    <w:rsid w:val="00645959"/>
    <w:rsid w:val="006511CA"/>
    <w:rsid w:val="00682CD2"/>
    <w:rsid w:val="00693601"/>
    <w:rsid w:val="006C61C1"/>
    <w:rsid w:val="0081771C"/>
    <w:rsid w:val="00877C46"/>
    <w:rsid w:val="008834D9"/>
    <w:rsid w:val="008A5AC9"/>
    <w:rsid w:val="008C2E1E"/>
    <w:rsid w:val="008F6B3D"/>
    <w:rsid w:val="009B4369"/>
    <w:rsid w:val="009F3B5C"/>
    <w:rsid w:val="00A03071"/>
    <w:rsid w:val="00A228C3"/>
    <w:rsid w:val="00A82A8A"/>
    <w:rsid w:val="00AA1EC4"/>
    <w:rsid w:val="00AF145A"/>
    <w:rsid w:val="00B72836"/>
    <w:rsid w:val="00BD316C"/>
    <w:rsid w:val="00BD6A67"/>
    <w:rsid w:val="00C25D0F"/>
    <w:rsid w:val="00C26B8B"/>
    <w:rsid w:val="00CA13CE"/>
    <w:rsid w:val="00DD6859"/>
    <w:rsid w:val="00E07CED"/>
    <w:rsid w:val="00E539A3"/>
    <w:rsid w:val="00E7400E"/>
    <w:rsid w:val="00E84030"/>
    <w:rsid w:val="00E93CD3"/>
    <w:rsid w:val="00EC4E79"/>
    <w:rsid w:val="00EC5CAC"/>
    <w:rsid w:val="00FD1A66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A5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2023-01-03T18:45:00Z</dcterms:created>
  <dcterms:modified xsi:type="dcterms:W3CDTF">2023-01-03T18:45:00Z</dcterms:modified>
</cp:coreProperties>
</file>