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D7191" w14:paraId="0AE673E7" w14:textId="77777777" w:rsidTr="004D7191">
        <w:tc>
          <w:tcPr>
            <w:tcW w:w="4392" w:type="dxa"/>
          </w:tcPr>
          <w:p w14:paraId="6E033F7E" w14:textId="4CC0E168" w:rsidR="004D7191" w:rsidRDefault="004D7191">
            <w:r>
              <w:t xml:space="preserve">                       </w:t>
            </w:r>
            <w:r w:rsidRPr="004D7191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0DA7B133" w14:textId="01A21C76" w:rsidR="004D7191" w:rsidRDefault="004D7191">
            <w:r>
              <w:t xml:space="preserve">                           </w:t>
            </w:r>
            <w:r w:rsidRPr="004D7191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75459EB5" w14:textId="25B66275" w:rsidR="004D7191" w:rsidRDefault="004D7191">
            <w:r>
              <w:t xml:space="preserve">                        </w:t>
            </w:r>
            <w:r w:rsidRPr="004D7191">
              <w:rPr>
                <w:highlight w:val="darkGreen"/>
              </w:rPr>
              <w:t>Home Extension</w:t>
            </w:r>
          </w:p>
        </w:tc>
      </w:tr>
      <w:tr w:rsidR="004D7191" w14:paraId="40BB1F32" w14:textId="77777777" w:rsidTr="004D7191">
        <w:tc>
          <w:tcPr>
            <w:tcW w:w="4392" w:type="dxa"/>
          </w:tcPr>
          <w:p w14:paraId="54C23C2F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1C736E28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709F3EF2" w14:textId="77777777" w:rsidR="004D7191" w:rsidRPr="004D7191" w:rsidRDefault="004D7191" w:rsidP="004D71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D7191">
              <w:rPr>
                <w:b/>
                <w:bCs/>
                <w:color w:val="FF0000"/>
                <w:sz w:val="24"/>
                <w:szCs w:val="24"/>
              </w:rPr>
              <w:t>IV. Language and Literacy</w:t>
            </w:r>
          </w:p>
          <w:p w14:paraId="283ECFD0" w14:textId="77777777" w:rsidR="004D7191" w:rsidRPr="004D7191" w:rsidRDefault="004D7191" w:rsidP="004D7191">
            <w:pPr>
              <w:rPr>
                <w:b/>
                <w:bCs/>
                <w:sz w:val="24"/>
                <w:szCs w:val="24"/>
              </w:rPr>
            </w:pPr>
            <w:r w:rsidRPr="004D7191">
              <w:rPr>
                <w:b/>
                <w:bCs/>
                <w:sz w:val="24"/>
                <w:szCs w:val="24"/>
              </w:rPr>
              <w:t>G. Emergent writing</w:t>
            </w:r>
          </w:p>
          <w:p w14:paraId="0CB728D2" w14:textId="77777777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1. Begins to show motivation to engage in written expression and appropriate knowledge of forms and functions of written composition</w:t>
            </w:r>
          </w:p>
          <w:p w14:paraId="596B7744" w14:textId="3F4BCF09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Benchmark b. Uses letter-like shapes or letters to write words or parts of words</w:t>
            </w:r>
          </w:p>
          <w:p w14:paraId="5A5273D2" w14:textId="28321A2E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252316DA" w14:textId="66A95967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09D7A1C8" w14:textId="13A26E21" w:rsidR="004D7191" w:rsidRDefault="004D7191" w:rsidP="004D7191">
            <w:pPr>
              <w:rPr>
                <w:sz w:val="24"/>
                <w:szCs w:val="24"/>
              </w:rPr>
            </w:pPr>
          </w:p>
          <w:p w14:paraId="596793BF" w14:textId="759BE338" w:rsidR="004D7191" w:rsidRDefault="004D7191" w:rsidP="004D7191">
            <w:pPr>
              <w:rPr>
                <w:sz w:val="24"/>
                <w:szCs w:val="24"/>
              </w:rPr>
            </w:pPr>
          </w:p>
          <w:p w14:paraId="7868DD91" w14:textId="6A08F830" w:rsidR="004D7191" w:rsidRDefault="004D7191" w:rsidP="004D7191">
            <w:pPr>
              <w:rPr>
                <w:sz w:val="24"/>
                <w:szCs w:val="24"/>
              </w:rPr>
            </w:pPr>
          </w:p>
          <w:p w14:paraId="752634A8" w14:textId="77777777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5C21F98E" w14:textId="1E6F9C6C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3AD09AED" w14:textId="77777777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6333C364" w14:textId="77777777" w:rsidR="004D7191" w:rsidRPr="004D7191" w:rsidRDefault="004D7191" w:rsidP="004D71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D7191">
              <w:rPr>
                <w:b/>
                <w:bCs/>
                <w:color w:val="FF0000"/>
                <w:sz w:val="24"/>
                <w:szCs w:val="24"/>
              </w:rPr>
              <w:t>V. Mathematical Thinking</w:t>
            </w:r>
          </w:p>
          <w:p w14:paraId="53DBCF1C" w14:textId="77777777" w:rsidR="004D7191" w:rsidRPr="004D7191" w:rsidRDefault="004D7191" w:rsidP="004D7191">
            <w:pPr>
              <w:rPr>
                <w:b/>
                <w:bCs/>
                <w:sz w:val="24"/>
                <w:szCs w:val="24"/>
              </w:rPr>
            </w:pPr>
            <w:r w:rsidRPr="004D7191">
              <w:rPr>
                <w:b/>
                <w:bCs/>
                <w:sz w:val="24"/>
                <w:szCs w:val="24"/>
              </w:rPr>
              <w:t>C. Patterns</w:t>
            </w:r>
          </w:p>
          <w:p w14:paraId="35A1BB5D" w14:textId="32A541B6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3. Recognizes the unit of repeat of a more complex pattern and extends the pattern (ABB or ABC)</w:t>
            </w:r>
          </w:p>
          <w:p w14:paraId="75228AE8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7FF99BB8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39F975EE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45F918FE" w14:textId="633A6845" w:rsidR="004D7191" w:rsidRPr="004D7191" w:rsidRDefault="004D7191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02B2CF7" w14:textId="77777777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 xml:space="preserve">Symmetrical word art using child’s name. </w:t>
            </w:r>
          </w:p>
          <w:p w14:paraId="6368B680" w14:textId="77777777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0415A021" w14:textId="45A1A970" w:rsidR="004D7191" w:rsidRPr="004D7191" w:rsidRDefault="004D7191">
            <w:pPr>
              <w:rPr>
                <w:sz w:val="24"/>
                <w:szCs w:val="24"/>
              </w:rPr>
            </w:pPr>
            <w:r w:rsidRPr="004D7191">
              <w:rPr>
                <w:noProof/>
                <w:sz w:val="24"/>
                <w:szCs w:val="24"/>
              </w:rPr>
              <w:drawing>
                <wp:inline distT="0" distB="0" distL="0" distR="0" wp14:anchorId="65EE06A0" wp14:editId="77811943">
                  <wp:extent cx="771313" cy="578485"/>
                  <wp:effectExtent l="0" t="0" r="0" b="0"/>
                  <wp:docPr id="17" name="Picture 17" descr="Background patter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Background pattern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74" cy="59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ACF2F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533EAA6D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404D1D03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78868301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118AA249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73FDFF54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4CAB68D6" w14:textId="77777777" w:rsidR="004D7191" w:rsidRPr="004D7191" w:rsidRDefault="004D7191">
            <w:pPr>
              <w:rPr>
                <w:sz w:val="24"/>
                <w:szCs w:val="24"/>
              </w:rPr>
            </w:pPr>
          </w:p>
          <w:p w14:paraId="66E1C70F" w14:textId="77777777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>Piet Mondrian inspired artwork</w:t>
            </w:r>
          </w:p>
          <w:p w14:paraId="7E9E8B2C" w14:textId="77777777" w:rsidR="004D7191" w:rsidRPr="004D7191" w:rsidRDefault="004D7191" w:rsidP="004D7191">
            <w:pPr>
              <w:rPr>
                <w:sz w:val="24"/>
                <w:szCs w:val="24"/>
              </w:rPr>
            </w:pPr>
          </w:p>
          <w:p w14:paraId="234E1970" w14:textId="77777777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 xml:space="preserve">Using white construction paper as canvas, teach students to paint black lines both horizontally and vertically across their paper. </w:t>
            </w:r>
          </w:p>
          <w:p w14:paraId="06329A4F" w14:textId="77777777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 xml:space="preserve">Once finished with that portion of the artwork, there should be squares and rectangles of different size that can be filled in with red, </w:t>
            </w:r>
            <w:proofErr w:type="gramStart"/>
            <w:r w:rsidRPr="004D7191">
              <w:rPr>
                <w:sz w:val="24"/>
                <w:szCs w:val="24"/>
              </w:rPr>
              <w:t>yellow</w:t>
            </w:r>
            <w:proofErr w:type="gramEnd"/>
            <w:r w:rsidRPr="004D7191">
              <w:rPr>
                <w:sz w:val="24"/>
                <w:szCs w:val="24"/>
              </w:rPr>
              <w:t xml:space="preserve"> and blue in various spaces, while still leaving some spaces white.</w:t>
            </w:r>
          </w:p>
          <w:p w14:paraId="0040AB55" w14:textId="4E02A3E3" w:rsidR="004D7191" w:rsidRPr="004D7191" w:rsidRDefault="004D7191" w:rsidP="004D7191">
            <w:pPr>
              <w:rPr>
                <w:sz w:val="24"/>
                <w:szCs w:val="24"/>
              </w:rPr>
            </w:pPr>
            <w:r w:rsidRPr="004D7191">
              <w:rPr>
                <w:sz w:val="24"/>
                <w:szCs w:val="24"/>
              </w:rPr>
              <w:t xml:space="preserve">                       </w:t>
            </w:r>
            <w:r w:rsidRPr="004D7191">
              <w:rPr>
                <w:noProof/>
                <w:sz w:val="24"/>
                <w:szCs w:val="24"/>
              </w:rPr>
              <w:drawing>
                <wp:inline distT="0" distB="0" distL="0" distR="0" wp14:anchorId="565608DD" wp14:editId="3D9EF87A">
                  <wp:extent cx="734695" cy="461913"/>
                  <wp:effectExtent l="0" t="0" r="0" b="0"/>
                  <wp:docPr id="29" name="Picture 2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&#10;&#10;Description automatically generated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0" t="15517" r="11001" b="20964"/>
                          <a:stretch/>
                        </pic:blipFill>
                        <pic:spPr bwMode="auto">
                          <a:xfrm>
                            <a:off x="0" y="0"/>
                            <a:ext cx="760457" cy="47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719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392" w:type="dxa"/>
          </w:tcPr>
          <w:p w14:paraId="770FE7E4" w14:textId="77777777" w:rsidR="004D7191" w:rsidRP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D9AA168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F58AE0D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8400120" w14:textId="502ED2C5" w:rsidR="004D7191" w:rsidRP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4D7191">
              <w:rPr>
                <w:b/>
                <w:bCs/>
                <w:color w:val="4B732F"/>
                <w:sz w:val="24"/>
                <w:szCs w:val="24"/>
              </w:rPr>
              <w:t xml:space="preserve">Throughout this unit, each child will be making a color wheel in class to take home once finished. I spy is a great color game to play together. </w:t>
            </w:r>
          </w:p>
          <w:p w14:paraId="0A7806AA" w14:textId="77777777" w:rsidR="004D7191" w:rsidRP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1928FCC1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FD67D5B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0A7AED2F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2FCAF934" w14:textId="77777777" w:rsid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</w:p>
          <w:p w14:paraId="39A459A9" w14:textId="28E9E38A" w:rsidR="004D7191" w:rsidRPr="004D7191" w:rsidRDefault="004D7191" w:rsidP="004D7191">
            <w:pPr>
              <w:rPr>
                <w:b/>
                <w:bCs/>
                <w:color w:val="4B732F"/>
                <w:sz w:val="24"/>
                <w:szCs w:val="24"/>
              </w:rPr>
            </w:pPr>
            <w:r w:rsidRPr="004D7191">
              <w:rPr>
                <w:b/>
                <w:bCs/>
                <w:color w:val="4B732F"/>
                <w:sz w:val="24"/>
                <w:szCs w:val="24"/>
              </w:rPr>
              <w:t>Work with your child on patterning this week.</w:t>
            </w:r>
          </w:p>
          <w:p w14:paraId="4BF9944D" w14:textId="77777777" w:rsidR="004D7191" w:rsidRPr="004D7191" w:rsidRDefault="004D7191">
            <w:pPr>
              <w:rPr>
                <w:sz w:val="24"/>
                <w:szCs w:val="24"/>
              </w:rPr>
            </w:pPr>
          </w:p>
        </w:tc>
      </w:tr>
    </w:tbl>
    <w:p w14:paraId="379A500B" w14:textId="77777777" w:rsidR="004D7191" w:rsidRDefault="004D7191">
      <w:pPr>
        <w:rPr>
          <w:highlight w:val="red"/>
        </w:rPr>
      </w:pPr>
      <w:r>
        <w:rPr>
          <w:highlight w:val="red"/>
        </w:rPr>
        <w:t xml:space="preserve"> </w:t>
      </w:r>
    </w:p>
    <w:p w14:paraId="247FCC75" w14:textId="02C6F514" w:rsidR="00CF3902" w:rsidRDefault="004D7191">
      <w:r w:rsidRPr="004D7191">
        <w:t xml:space="preserve">                                                                                                          </w:t>
      </w:r>
      <w:r>
        <w:rPr>
          <w:highlight w:val="red"/>
        </w:rPr>
        <w:t xml:space="preserve"> </w:t>
      </w:r>
      <w:r w:rsidRPr="004D7191">
        <w:rPr>
          <w:highlight w:val="red"/>
        </w:rPr>
        <w:t>This week’s color is RED</w:t>
      </w:r>
    </w:p>
    <w:sectPr w:rsidR="00CF3902" w:rsidSect="004D719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7E6E" w14:textId="77777777" w:rsidR="004D7191" w:rsidRDefault="004D7191" w:rsidP="004D7191">
      <w:pPr>
        <w:spacing w:after="0" w:line="240" w:lineRule="auto"/>
      </w:pPr>
      <w:r>
        <w:separator/>
      </w:r>
    </w:p>
  </w:endnote>
  <w:endnote w:type="continuationSeparator" w:id="0">
    <w:p w14:paraId="3CDB8DFB" w14:textId="77777777" w:rsidR="004D7191" w:rsidRDefault="004D7191" w:rsidP="004D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6AC" w14:textId="77777777" w:rsidR="004D7191" w:rsidRDefault="004D7191" w:rsidP="004D7191">
      <w:pPr>
        <w:spacing w:after="0" w:line="240" w:lineRule="auto"/>
      </w:pPr>
      <w:r>
        <w:separator/>
      </w:r>
    </w:p>
  </w:footnote>
  <w:footnote w:type="continuationSeparator" w:id="0">
    <w:p w14:paraId="4AEF9201" w14:textId="77777777" w:rsidR="004D7191" w:rsidRDefault="004D7191" w:rsidP="004D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04D5" w14:textId="4E28B15F" w:rsidR="004D7191" w:rsidRDefault="004D7191" w:rsidP="004D7191">
    <w:pPr>
      <w:pStyle w:val="Header"/>
    </w:pPr>
    <w:r>
      <w:t>Tiffany Green &amp; Laura Hill                                                     Take a Peek at Our Week                                                                   1/2</w:t>
    </w:r>
    <w:r>
      <w:t>3</w:t>
    </w:r>
    <w:r>
      <w:t>/2023        Color Unit</w:t>
    </w:r>
  </w:p>
  <w:p w14:paraId="56C95466" w14:textId="77777777" w:rsidR="004D7191" w:rsidRDefault="004D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191"/>
    <w:rsid w:val="00213FB2"/>
    <w:rsid w:val="004D7191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3040"/>
  <w15:chartTrackingRefBased/>
  <w15:docId w15:val="{E913E44C-493E-47F3-A865-4017522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1"/>
  </w:style>
  <w:style w:type="paragraph" w:styleId="Footer">
    <w:name w:val="footer"/>
    <w:basedOn w:val="Normal"/>
    <w:link w:val="FooterChar"/>
    <w:uiPriority w:val="99"/>
    <w:unhideWhenUsed/>
    <w:rsid w:val="004D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1"/>
  </w:style>
  <w:style w:type="table" w:styleId="TableGrid">
    <w:name w:val="Table Grid"/>
    <w:basedOn w:val="TableNormal"/>
    <w:uiPriority w:val="39"/>
    <w:rsid w:val="004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2022-12-24T14:55:00Z</dcterms:created>
  <dcterms:modified xsi:type="dcterms:W3CDTF">2022-12-24T15:02:00Z</dcterms:modified>
</cp:coreProperties>
</file>