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52048B5A">
            <wp:simplePos x="0" y="0"/>
            <wp:positionH relativeFrom="margin">
              <wp:posOffset>3697605</wp:posOffset>
            </wp:positionH>
            <wp:positionV relativeFrom="margin">
              <wp:posOffset>-156293</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B89B92A" w:rsidR="00A228C3"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w:t>
      </w:r>
      <w:r w:rsidR="006A46F1">
        <w:rPr>
          <w:rFonts w:ascii="KG Primary Penmanship 2" w:hAnsi="KG Primary Penmanship 2"/>
          <w:b/>
          <w:bCs/>
          <w:sz w:val="40"/>
          <w:szCs w:val="40"/>
        </w:rPr>
        <w:t>k</w:t>
      </w:r>
    </w:p>
    <w:p w14:paraId="6D917D3C" w14:textId="017E661B" w:rsidR="006A46F1" w:rsidRPr="006A46F1" w:rsidRDefault="006A46F1" w:rsidP="00A228C3">
      <w:pPr>
        <w:jc w:val="center"/>
        <w:rPr>
          <w:rFonts w:ascii="KG Primary Penmanship 2" w:hAnsi="KG Primary Penmanship 2"/>
          <w:b/>
          <w:bCs/>
          <w:sz w:val="22"/>
          <w:szCs w:val="16"/>
        </w:rPr>
      </w:pPr>
    </w:p>
    <w:p w14:paraId="691FBE4C" w14:textId="1013117A" w:rsidR="006A46F1" w:rsidRPr="006A46F1" w:rsidRDefault="006A46F1" w:rsidP="006A46F1">
      <w:pPr>
        <w:rPr>
          <w:rFonts w:ascii="KG Primary Penmanship 2" w:hAnsi="KG Primary Penmanship 2"/>
          <w:b/>
          <w:bCs/>
          <w:sz w:val="30"/>
          <w:szCs w:val="22"/>
        </w:rPr>
      </w:pPr>
      <w:r w:rsidRPr="006A46F1">
        <w:rPr>
          <w:rFonts w:ascii="KG Primary Penmanship 2" w:hAnsi="KG Primary Penmanship 2"/>
          <w:b/>
          <w:bCs/>
          <w:sz w:val="30"/>
          <w:szCs w:val="22"/>
        </w:rPr>
        <w:t>Skill Streaming Focus: Interrupting</w:t>
      </w:r>
    </w:p>
    <w:p w14:paraId="469230E3" w14:textId="77777777" w:rsidR="006A46F1" w:rsidRPr="006A46F1" w:rsidRDefault="006A46F1" w:rsidP="006A46F1">
      <w:pPr>
        <w:rPr>
          <w:rFonts w:ascii="KG Primary Penmanship 2" w:hAnsi="KG Primary Penmanship 2"/>
          <w:b/>
          <w:bCs/>
          <w:sz w:val="30"/>
          <w:szCs w:val="22"/>
        </w:rPr>
      </w:pPr>
    </w:p>
    <w:tbl>
      <w:tblPr>
        <w:tblStyle w:val="TableGrid"/>
        <w:tblW w:w="14256" w:type="dxa"/>
        <w:tblLook w:val="04A0" w:firstRow="1" w:lastRow="0" w:firstColumn="1" w:lastColumn="0" w:noHBand="0" w:noVBand="1"/>
      </w:tblPr>
      <w:tblGrid>
        <w:gridCol w:w="4315"/>
        <w:gridCol w:w="4860"/>
        <w:gridCol w:w="5081"/>
      </w:tblGrid>
      <w:tr w:rsidR="00A228C3" w:rsidRPr="006A46F1" w14:paraId="3C6E3963" w14:textId="77777777" w:rsidTr="006A46F1">
        <w:trPr>
          <w:trHeight w:val="647"/>
        </w:trPr>
        <w:tc>
          <w:tcPr>
            <w:tcW w:w="4315" w:type="dxa"/>
            <w:vAlign w:val="center"/>
          </w:tcPr>
          <w:p w14:paraId="0E394E5A" w14:textId="14A06BEA" w:rsidR="00A228C3" w:rsidRPr="006A46F1" w:rsidRDefault="0071064B" w:rsidP="00634D7B">
            <w:pPr>
              <w:jc w:val="center"/>
              <w:rPr>
                <w:rFonts w:ascii="KG Primary Penmanship 2" w:hAnsi="KG Primary Penmanship 2"/>
                <w:b/>
                <w:bCs/>
                <w:szCs w:val="16"/>
              </w:rPr>
            </w:pPr>
            <w:r w:rsidRPr="006A46F1">
              <w:rPr>
                <w:rFonts w:ascii="KG Primary Penmanship 2" w:hAnsi="KG Primary Penmanship 2"/>
                <w:b/>
                <w:bCs/>
                <w:szCs w:val="16"/>
              </w:rPr>
              <w:t xml:space="preserve">Florida Early Learning and Developmental </w:t>
            </w:r>
            <w:r w:rsidR="00A228C3" w:rsidRPr="006A46F1">
              <w:rPr>
                <w:rFonts w:ascii="KG Primary Penmanship 2" w:hAnsi="KG Primary Penmanship 2"/>
                <w:b/>
                <w:bCs/>
                <w:szCs w:val="16"/>
              </w:rPr>
              <w:t>Standard</w:t>
            </w:r>
            <w:r w:rsidRPr="006A46F1">
              <w:rPr>
                <w:rFonts w:ascii="KG Primary Penmanship 2" w:hAnsi="KG Primary Penmanship 2"/>
                <w:b/>
                <w:bCs/>
                <w:szCs w:val="16"/>
              </w:rPr>
              <w:t>s</w:t>
            </w:r>
          </w:p>
        </w:tc>
        <w:tc>
          <w:tcPr>
            <w:tcW w:w="4860" w:type="dxa"/>
            <w:vAlign w:val="center"/>
          </w:tcPr>
          <w:p w14:paraId="477F9C33" w14:textId="05E0C05A" w:rsidR="00A228C3" w:rsidRPr="006A46F1" w:rsidRDefault="0071064B" w:rsidP="00634D7B">
            <w:pPr>
              <w:jc w:val="center"/>
              <w:rPr>
                <w:rFonts w:ascii="KG Primary Penmanship 2" w:hAnsi="KG Primary Penmanship 2"/>
                <w:b/>
                <w:bCs/>
                <w:szCs w:val="16"/>
              </w:rPr>
            </w:pPr>
            <w:r w:rsidRPr="006A46F1">
              <w:rPr>
                <w:rFonts w:ascii="KG Primary Penmanship 2" w:hAnsi="KG Primary Penmanship 2"/>
                <w:b/>
                <w:bCs/>
                <w:szCs w:val="16"/>
              </w:rPr>
              <w:t xml:space="preserve">School </w:t>
            </w:r>
            <w:r w:rsidR="00A228C3" w:rsidRPr="006A46F1">
              <w:rPr>
                <w:rFonts w:ascii="KG Primary Penmanship 2" w:hAnsi="KG Primary Penmanship 2"/>
                <w:b/>
                <w:bCs/>
                <w:szCs w:val="16"/>
              </w:rPr>
              <w:t>Activity</w:t>
            </w:r>
          </w:p>
        </w:tc>
        <w:tc>
          <w:tcPr>
            <w:tcW w:w="5081" w:type="dxa"/>
            <w:vAlign w:val="center"/>
          </w:tcPr>
          <w:p w14:paraId="05983D24" w14:textId="77777777" w:rsidR="00A228C3" w:rsidRPr="006A46F1" w:rsidRDefault="00A228C3" w:rsidP="00634D7B">
            <w:pPr>
              <w:jc w:val="center"/>
              <w:rPr>
                <w:rFonts w:ascii="KG Primary Penmanship 2" w:hAnsi="KG Primary Penmanship 2"/>
                <w:b/>
                <w:bCs/>
                <w:szCs w:val="16"/>
              </w:rPr>
            </w:pPr>
            <w:r w:rsidRPr="006A46F1">
              <w:rPr>
                <w:rFonts w:ascii="KG Primary Penmanship 2" w:hAnsi="KG Primary Penmanship 2"/>
                <w:b/>
                <w:bCs/>
                <w:szCs w:val="16"/>
              </w:rPr>
              <w:t>Home Extension Activity</w:t>
            </w:r>
          </w:p>
        </w:tc>
      </w:tr>
      <w:tr w:rsidR="00A228C3" w:rsidRPr="006A46F1" w14:paraId="1A1A9740" w14:textId="77777777" w:rsidTr="006A46F1">
        <w:trPr>
          <w:trHeight w:val="1106"/>
        </w:trPr>
        <w:tc>
          <w:tcPr>
            <w:tcW w:w="4315" w:type="dxa"/>
          </w:tcPr>
          <w:p w14:paraId="6B9C645A" w14:textId="230AB9B3" w:rsidR="00A228C3" w:rsidRPr="006A46F1" w:rsidRDefault="00D073EF" w:rsidP="0071064B">
            <w:pPr>
              <w:rPr>
                <w:rFonts w:ascii="KG Primary Penmanship 2" w:hAnsi="KG Primary Penmanship 2"/>
                <w:b/>
                <w:bCs/>
                <w:szCs w:val="16"/>
              </w:rPr>
            </w:pPr>
            <w:r w:rsidRPr="006A46F1">
              <w:rPr>
                <w:rFonts w:ascii="KG Primary Penmanship 2" w:hAnsi="KG Primary Penmanship 2"/>
                <w:b/>
                <w:bCs/>
                <w:szCs w:val="16"/>
              </w:rPr>
              <w:t xml:space="preserve">Religious Focus: Creation – Day </w:t>
            </w:r>
            <w:r w:rsidR="00BE7C3C" w:rsidRPr="006A46F1">
              <w:rPr>
                <w:rFonts w:ascii="KG Primary Penmanship 2" w:hAnsi="KG Primary Penmanship 2"/>
                <w:b/>
                <w:bCs/>
                <w:szCs w:val="16"/>
              </w:rPr>
              <w:t>Seven</w:t>
            </w:r>
          </w:p>
          <w:p w14:paraId="69C2C548" w14:textId="6DE3A155" w:rsidR="00A228C3" w:rsidRPr="006A46F1" w:rsidRDefault="00D073EF" w:rsidP="00C04750">
            <w:pPr>
              <w:pStyle w:val="ListParagraph"/>
              <w:numPr>
                <w:ilvl w:val="0"/>
                <w:numId w:val="1"/>
              </w:numPr>
              <w:spacing w:line="240" w:lineRule="auto"/>
              <w:ind w:left="576" w:hanging="432"/>
              <w:rPr>
                <w:rFonts w:ascii="KG Primary Penmanship 2" w:hAnsi="KG Primary Penmanship 2"/>
                <w:sz w:val="24"/>
                <w:szCs w:val="16"/>
              </w:rPr>
            </w:pPr>
            <w:r w:rsidRPr="006A46F1">
              <w:rPr>
                <w:rFonts w:ascii="KG Primary Penmanship 2" w:hAnsi="KG Primary Penmanship 2"/>
                <w:sz w:val="24"/>
                <w:szCs w:val="16"/>
              </w:rPr>
              <w:t>“</w:t>
            </w:r>
            <w:r w:rsidR="00BE7C3C" w:rsidRPr="006A46F1">
              <w:rPr>
                <w:rFonts w:ascii="KG Primary Penmanship 2" w:hAnsi="KG Primary Penmanship 2"/>
                <w:sz w:val="24"/>
                <w:szCs w:val="16"/>
              </w:rPr>
              <w:t>All He had made was very good and He rested</w:t>
            </w:r>
          </w:p>
        </w:tc>
        <w:tc>
          <w:tcPr>
            <w:tcW w:w="4860" w:type="dxa"/>
          </w:tcPr>
          <w:p w14:paraId="76D0BE04" w14:textId="0173E6F6" w:rsidR="00A228C3" w:rsidRPr="006A46F1" w:rsidRDefault="0071064B" w:rsidP="00634D7B">
            <w:pPr>
              <w:ind w:left="288"/>
              <w:rPr>
                <w:rFonts w:ascii="KG Primary Penmanship 2" w:hAnsi="KG Primary Penmanship 2"/>
                <w:szCs w:val="16"/>
              </w:rPr>
            </w:pPr>
            <w:r w:rsidRPr="006A46F1">
              <w:rPr>
                <w:rFonts w:ascii="KG Primary Penmanship 2" w:hAnsi="KG Primary Penmanship 2"/>
                <w:noProof/>
                <w:szCs w:val="16"/>
              </w:rPr>
              <w:drawing>
                <wp:anchor distT="0" distB="0" distL="114300" distR="114300" simplePos="0" relativeHeight="251660288" behindDoc="0" locked="0" layoutInCell="1" allowOverlap="1" wp14:anchorId="61FFF0B9" wp14:editId="2A7785C6">
                  <wp:simplePos x="0" y="0"/>
                  <wp:positionH relativeFrom="column">
                    <wp:posOffset>176530</wp:posOffset>
                  </wp:positionH>
                  <wp:positionV relativeFrom="paragraph">
                    <wp:posOffset>0</wp:posOffset>
                  </wp:positionV>
                  <wp:extent cx="715010" cy="663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010" cy="663575"/>
                          </a:xfrm>
                          <a:prstGeom prst="rect">
                            <a:avLst/>
                          </a:prstGeom>
                        </pic:spPr>
                      </pic:pic>
                    </a:graphicData>
                  </a:graphic>
                  <wp14:sizeRelH relativeFrom="page">
                    <wp14:pctWidth>0</wp14:pctWidth>
                  </wp14:sizeRelH>
                  <wp14:sizeRelV relativeFrom="page">
                    <wp14:pctHeight>0</wp14:pctHeight>
                  </wp14:sizeRelV>
                </wp:anchor>
              </w:drawing>
            </w:r>
            <w:r w:rsidRPr="006A46F1">
              <w:rPr>
                <w:rFonts w:ascii="KG Primary Penmanship 2" w:hAnsi="KG Primary Penmanship 2"/>
                <w:szCs w:val="16"/>
              </w:rPr>
              <w:t>This is an example of what God’s bed might look like</w:t>
            </w:r>
          </w:p>
        </w:tc>
        <w:tc>
          <w:tcPr>
            <w:tcW w:w="5081" w:type="dxa"/>
          </w:tcPr>
          <w:p w14:paraId="41169338" w14:textId="707634CA" w:rsidR="0035667A" w:rsidRPr="006A46F1" w:rsidRDefault="00F0608F" w:rsidP="00634D7B">
            <w:pPr>
              <w:ind w:left="288"/>
              <w:rPr>
                <w:rFonts w:ascii="KG Primary Penmanship 2" w:hAnsi="KG Primary Penmanship 2"/>
                <w:szCs w:val="16"/>
              </w:rPr>
            </w:pPr>
            <w:r w:rsidRPr="006A46F1">
              <w:rPr>
                <w:rFonts w:ascii="KG Primary Penmanship 2" w:hAnsi="KG Primary Penmanship 2"/>
                <w:szCs w:val="16"/>
              </w:rPr>
              <w:t>Intentionally schedule some time to relax and rest as a family this week.</w:t>
            </w:r>
            <w:r w:rsidR="0071064B" w:rsidRPr="006A46F1">
              <w:rPr>
                <w:rFonts w:ascii="KG Primary Penmanship 2" w:hAnsi="KG Primary Penmanship 2"/>
                <w:szCs w:val="16"/>
              </w:rPr>
              <w:t xml:space="preserve">  Explain to your child that resting is important.</w:t>
            </w:r>
          </w:p>
        </w:tc>
      </w:tr>
      <w:tr w:rsidR="00AC3A3B" w:rsidRPr="006A46F1" w14:paraId="729B2999" w14:textId="77777777" w:rsidTr="006A46F1">
        <w:trPr>
          <w:trHeight w:val="1584"/>
        </w:trPr>
        <w:tc>
          <w:tcPr>
            <w:tcW w:w="4315" w:type="dxa"/>
          </w:tcPr>
          <w:p w14:paraId="0B47D985" w14:textId="77777777" w:rsidR="00AC3A3B" w:rsidRPr="006A46F1" w:rsidRDefault="00AC3A3B" w:rsidP="00511679">
            <w:pPr>
              <w:rPr>
                <w:rFonts w:ascii="KG Primary Penmanship 2" w:hAnsi="KG Primary Penmanship 2"/>
                <w:b/>
                <w:bCs/>
                <w:szCs w:val="16"/>
              </w:rPr>
            </w:pPr>
            <w:r w:rsidRPr="006A46F1">
              <w:rPr>
                <w:rFonts w:ascii="KG Primary Penmanship 2" w:hAnsi="KG Primary Penmanship 2"/>
                <w:b/>
                <w:bCs/>
                <w:szCs w:val="16"/>
              </w:rPr>
              <w:t>Mathematic Thinking</w:t>
            </w:r>
          </w:p>
          <w:p w14:paraId="5E706ABA" w14:textId="77777777" w:rsidR="00AC3A3B" w:rsidRPr="006A46F1" w:rsidRDefault="00AC3A3B" w:rsidP="00511679">
            <w:pPr>
              <w:pStyle w:val="ListParagraph"/>
              <w:numPr>
                <w:ilvl w:val="0"/>
                <w:numId w:val="1"/>
              </w:numPr>
              <w:ind w:left="576" w:hanging="432"/>
              <w:rPr>
                <w:rFonts w:ascii="KG Primary Penmanship 2" w:hAnsi="KG Primary Penmanship 2"/>
                <w:sz w:val="24"/>
                <w:szCs w:val="16"/>
              </w:rPr>
            </w:pPr>
            <w:r w:rsidRPr="006A46F1">
              <w:rPr>
                <w:rFonts w:ascii="KG Primary Penmanship 2" w:hAnsi="KG Primary Penmanship 2"/>
                <w:sz w:val="24"/>
                <w:szCs w:val="16"/>
              </w:rPr>
              <w:t>Begins to demonstrate an understanding of basic spatial directions through songs, finger plays and games</w:t>
            </w:r>
          </w:p>
          <w:p w14:paraId="19BB5BBE" w14:textId="77777777" w:rsidR="00AC3A3B" w:rsidRPr="006A46F1" w:rsidRDefault="00AC3A3B" w:rsidP="00511679">
            <w:pPr>
              <w:ind w:left="144"/>
              <w:rPr>
                <w:rFonts w:ascii="KG Primary Penmanship 2" w:eastAsiaTheme="minorHAnsi" w:hAnsi="KG Primary Penmanship 2" w:cstheme="minorBidi"/>
                <w:b/>
                <w:bCs/>
                <w:szCs w:val="16"/>
              </w:rPr>
            </w:pPr>
            <w:r w:rsidRPr="006A46F1">
              <w:rPr>
                <w:rFonts w:ascii="KG Primary Penmanship 2" w:hAnsi="KG Primary Penmanship 2"/>
                <w:b/>
                <w:bCs/>
                <w:szCs w:val="16"/>
              </w:rPr>
              <w:t>Social Studies</w:t>
            </w:r>
          </w:p>
          <w:p w14:paraId="43BB550D" w14:textId="77777777" w:rsidR="00AC3A3B" w:rsidRPr="006A46F1" w:rsidRDefault="00AC3A3B" w:rsidP="00511679">
            <w:pPr>
              <w:pStyle w:val="ListParagraph"/>
              <w:numPr>
                <w:ilvl w:val="0"/>
                <w:numId w:val="1"/>
              </w:numPr>
              <w:ind w:left="576" w:hanging="432"/>
              <w:rPr>
                <w:rFonts w:ascii="KG Primary Penmanship 2" w:hAnsi="KG Primary Penmanship 2"/>
                <w:sz w:val="24"/>
                <w:szCs w:val="16"/>
              </w:rPr>
            </w:pPr>
            <w:r w:rsidRPr="006A46F1">
              <w:rPr>
                <w:rFonts w:ascii="KG Primary Penmanship 2" w:hAnsi="KG Primary Penmanship 2"/>
                <w:sz w:val="24"/>
                <w:szCs w:val="16"/>
              </w:rPr>
              <w:t>Begins to recognize expectations in varying settings</w:t>
            </w:r>
          </w:p>
        </w:tc>
        <w:tc>
          <w:tcPr>
            <w:tcW w:w="4860" w:type="dxa"/>
          </w:tcPr>
          <w:p w14:paraId="04BAA313" w14:textId="77777777" w:rsidR="00AC3A3B" w:rsidRPr="006A46F1" w:rsidRDefault="00AC3A3B" w:rsidP="00511679">
            <w:pPr>
              <w:ind w:left="288"/>
              <w:rPr>
                <w:rFonts w:ascii="KG Primary Penmanship 2" w:hAnsi="KG Primary Penmanship 2"/>
                <w:b/>
                <w:bCs/>
                <w:szCs w:val="16"/>
              </w:rPr>
            </w:pPr>
            <w:r w:rsidRPr="006A46F1">
              <w:rPr>
                <w:rFonts w:ascii="KG Primary Penmanship 2" w:hAnsi="KG Primary Penmanship 2"/>
                <w:szCs w:val="16"/>
              </w:rPr>
              <w:t xml:space="preserve"> </w:t>
            </w:r>
            <w:r w:rsidRPr="006A46F1">
              <w:rPr>
                <w:rFonts w:ascii="KG Primary Penmanship 2" w:hAnsi="KG Primary Penmanship 2"/>
                <w:b/>
                <w:bCs/>
                <w:szCs w:val="16"/>
              </w:rPr>
              <w:t>Lining Up Game</w:t>
            </w:r>
          </w:p>
          <w:p w14:paraId="070ED118" w14:textId="77777777" w:rsidR="00AC3A3B" w:rsidRPr="006A46F1" w:rsidRDefault="00AC3A3B" w:rsidP="00511679">
            <w:pPr>
              <w:ind w:left="288"/>
              <w:rPr>
                <w:rFonts w:ascii="KG Primary Penmanship 2" w:hAnsi="KG Primary Penmanship 2"/>
                <w:szCs w:val="16"/>
              </w:rPr>
            </w:pPr>
          </w:p>
          <w:p w14:paraId="5E783A3E" w14:textId="77777777" w:rsidR="00AC3A3B" w:rsidRPr="006A46F1" w:rsidRDefault="00AC3A3B" w:rsidP="00511679">
            <w:pPr>
              <w:ind w:left="288"/>
              <w:rPr>
                <w:rFonts w:ascii="KG Primary Penmanship 2" w:hAnsi="KG Primary Penmanship 2"/>
                <w:szCs w:val="16"/>
              </w:rPr>
            </w:pPr>
            <w:r w:rsidRPr="006A46F1">
              <w:rPr>
                <w:rFonts w:ascii="KG Primary Penmanship 2" w:hAnsi="KG Primary Penmanship 2"/>
                <w:szCs w:val="16"/>
              </w:rPr>
              <w:t xml:space="preserve">Call the children one at a time to line up and then march around the room and sit down.  Repeat this a few times using the phrases such as, “Mary go to the end of the line.” “Jill you are next to get in line.” Talk about remembering who </w:t>
            </w:r>
            <w:proofErr w:type="gramStart"/>
            <w:r w:rsidRPr="006A46F1">
              <w:rPr>
                <w:rFonts w:ascii="KG Primary Penmanship 2" w:hAnsi="KG Primary Penmanship 2"/>
                <w:szCs w:val="16"/>
              </w:rPr>
              <w:t>is IN</w:t>
            </w:r>
            <w:proofErr w:type="gramEnd"/>
            <w:r w:rsidRPr="006A46F1">
              <w:rPr>
                <w:rFonts w:ascii="KG Primary Penmanship 2" w:hAnsi="KG Primary Penmanship 2"/>
                <w:szCs w:val="16"/>
              </w:rPr>
              <w:t xml:space="preserve"> FRONT of them.</w:t>
            </w:r>
          </w:p>
        </w:tc>
        <w:tc>
          <w:tcPr>
            <w:tcW w:w="5081" w:type="dxa"/>
          </w:tcPr>
          <w:p w14:paraId="455F4306" w14:textId="77777777" w:rsidR="00AC3A3B" w:rsidRPr="006A46F1" w:rsidRDefault="00AC3A3B" w:rsidP="00511679">
            <w:pPr>
              <w:ind w:left="288"/>
              <w:rPr>
                <w:rFonts w:ascii="KG Primary Penmanship 2" w:hAnsi="KG Primary Penmanship 2"/>
                <w:szCs w:val="16"/>
              </w:rPr>
            </w:pPr>
            <w:r w:rsidRPr="006A46F1">
              <w:rPr>
                <w:rFonts w:ascii="KG Primary Penmanship 2" w:hAnsi="KG Primary Penmanship 2"/>
                <w:szCs w:val="16"/>
              </w:rPr>
              <w:t xml:space="preserve">Line up car or any small toys.  Ask your child to pick up the first car in the line and put it at the end of the line.  Or ask your child to pick up the car behind the red car or in front of the blue car.  This activity will help your child learn their position word </w:t>
            </w:r>
            <w:proofErr w:type="gramStart"/>
            <w:r w:rsidRPr="006A46F1">
              <w:rPr>
                <w:rFonts w:ascii="KG Primary Penmanship 2" w:hAnsi="KG Primary Penmanship 2"/>
                <w:szCs w:val="16"/>
              </w:rPr>
              <w:t>in regard to</w:t>
            </w:r>
            <w:proofErr w:type="gramEnd"/>
            <w:r w:rsidRPr="006A46F1">
              <w:rPr>
                <w:rFonts w:ascii="KG Primary Penmanship 2" w:hAnsi="KG Primary Penmanship 2"/>
                <w:szCs w:val="16"/>
              </w:rPr>
              <w:t xml:space="preserve"> a line which in turn will help them when </w:t>
            </w:r>
            <w:proofErr w:type="spellStart"/>
            <w:r w:rsidRPr="006A46F1">
              <w:rPr>
                <w:rFonts w:ascii="KG Primary Penmanship 2" w:hAnsi="KG Primary Penmanship 2"/>
                <w:szCs w:val="16"/>
              </w:rPr>
              <w:t>its</w:t>
            </w:r>
            <w:proofErr w:type="spellEnd"/>
            <w:r w:rsidRPr="006A46F1">
              <w:rPr>
                <w:rFonts w:ascii="KG Primary Penmanship 2" w:hAnsi="KG Primary Penmanship 2"/>
                <w:szCs w:val="16"/>
              </w:rPr>
              <w:t xml:space="preserve"> time to line up at school.</w:t>
            </w:r>
          </w:p>
        </w:tc>
      </w:tr>
      <w:tr w:rsidR="00AC3A3B" w:rsidRPr="006A46F1" w14:paraId="4B5BCB2D" w14:textId="77777777" w:rsidTr="006A46F1">
        <w:trPr>
          <w:trHeight w:val="2186"/>
        </w:trPr>
        <w:tc>
          <w:tcPr>
            <w:tcW w:w="4315" w:type="dxa"/>
          </w:tcPr>
          <w:p w14:paraId="7976A511" w14:textId="6F75617F" w:rsidR="00E96DC2" w:rsidRPr="006A46F1" w:rsidRDefault="00E96DC2" w:rsidP="00E96DC2">
            <w:pPr>
              <w:ind w:left="144"/>
              <w:rPr>
                <w:rFonts w:ascii="KG Primary Penmanship 2" w:hAnsi="KG Primary Penmanship 2"/>
                <w:b/>
                <w:bCs/>
                <w:szCs w:val="16"/>
              </w:rPr>
            </w:pPr>
            <w:r w:rsidRPr="006A46F1">
              <w:rPr>
                <w:rFonts w:ascii="KG Primary Penmanship 2" w:hAnsi="KG Primary Penmanship 2"/>
                <w:b/>
                <w:bCs/>
                <w:szCs w:val="16"/>
              </w:rPr>
              <w:t>Language and Literacy</w:t>
            </w:r>
          </w:p>
          <w:p w14:paraId="253F45C1" w14:textId="5FD13F4F" w:rsidR="00E96DC2" w:rsidRPr="006A46F1" w:rsidRDefault="00E96DC2" w:rsidP="00E96DC2">
            <w:pPr>
              <w:pStyle w:val="ListParagraph"/>
              <w:numPr>
                <w:ilvl w:val="0"/>
                <w:numId w:val="1"/>
              </w:numPr>
              <w:ind w:left="576" w:hanging="432"/>
              <w:rPr>
                <w:rFonts w:ascii="KG Primary Penmanship 2" w:hAnsi="KG Primary Penmanship 2"/>
                <w:sz w:val="24"/>
                <w:szCs w:val="16"/>
              </w:rPr>
            </w:pPr>
            <w:r w:rsidRPr="006A46F1">
              <w:rPr>
                <w:rFonts w:ascii="KG Primary Penmanship 2" w:hAnsi="KG Primary Penmanship 2"/>
                <w:sz w:val="24"/>
                <w:szCs w:val="16"/>
              </w:rPr>
              <w:t>Demonstrates understanding when listening</w:t>
            </w:r>
          </w:p>
          <w:p w14:paraId="278E5119" w14:textId="68B2E015" w:rsidR="00AC3A3B" w:rsidRPr="006A46F1" w:rsidRDefault="00E96DC2" w:rsidP="00511679">
            <w:pPr>
              <w:pStyle w:val="ListParagraph"/>
              <w:numPr>
                <w:ilvl w:val="0"/>
                <w:numId w:val="1"/>
              </w:numPr>
              <w:ind w:left="576" w:hanging="432"/>
              <w:rPr>
                <w:rFonts w:ascii="KG Primary Penmanship 2" w:hAnsi="KG Primary Penmanship 2"/>
                <w:sz w:val="24"/>
                <w:szCs w:val="16"/>
              </w:rPr>
            </w:pPr>
            <w:r w:rsidRPr="006A46F1">
              <w:rPr>
                <w:rFonts w:ascii="KG Primary Penmanship 2" w:hAnsi="KG Primary Penmanship 2"/>
                <w:sz w:val="24"/>
                <w:szCs w:val="16"/>
              </w:rPr>
              <w:t>Listens to and attends to spoken language and read-aloud texts and responds in ways that signal understanding using simple verbal responses and nonverbal gestures</w:t>
            </w:r>
          </w:p>
        </w:tc>
        <w:tc>
          <w:tcPr>
            <w:tcW w:w="4860" w:type="dxa"/>
          </w:tcPr>
          <w:p w14:paraId="57926F65" w14:textId="77777777" w:rsidR="00AC3A3B" w:rsidRPr="006A46F1" w:rsidRDefault="00AC3A3B" w:rsidP="00511679">
            <w:pPr>
              <w:ind w:left="288"/>
              <w:rPr>
                <w:rFonts w:ascii="KG Primary Penmanship 2" w:hAnsi="KG Primary Penmanship 2"/>
                <w:b/>
                <w:bCs/>
                <w:szCs w:val="16"/>
              </w:rPr>
            </w:pPr>
            <w:r w:rsidRPr="006A46F1">
              <w:rPr>
                <w:rFonts w:ascii="KG Primary Penmanship 2" w:hAnsi="KG Primary Penmanship 2"/>
                <w:b/>
                <w:bCs/>
                <w:szCs w:val="16"/>
              </w:rPr>
              <w:t>Interrupting Game</w:t>
            </w:r>
          </w:p>
          <w:p w14:paraId="4DEFDFED" w14:textId="77777777" w:rsidR="00AC3A3B" w:rsidRPr="006A46F1" w:rsidRDefault="00AC3A3B" w:rsidP="00511679">
            <w:pPr>
              <w:ind w:left="288"/>
              <w:rPr>
                <w:rFonts w:ascii="KG Primary Penmanship 2" w:hAnsi="KG Primary Penmanship 2"/>
                <w:b/>
                <w:bCs/>
                <w:szCs w:val="16"/>
              </w:rPr>
            </w:pPr>
          </w:p>
          <w:p w14:paraId="19C9EE9F" w14:textId="3CF03C98" w:rsidR="00AC3A3B" w:rsidRPr="006A46F1" w:rsidRDefault="00AC3A3B" w:rsidP="00511679">
            <w:pPr>
              <w:ind w:left="288"/>
              <w:rPr>
                <w:rFonts w:ascii="KG Primary Penmanship 2" w:hAnsi="KG Primary Penmanship 2"/>
                <w:szCs w:val="16"/>
              </w:rPr>
            </w:pPr>
            <w:r w:rsidRPr="006A46F1">
              <w:rPr>
                <w:rFonts w:ascii="KG Primary Penmanship 2" w:hAnsi="KG Primary Penmanship 2"/>
                <w:szCs w:val="16"/>
              </w:rPr>
              <w:t xml:space="preserve">The children will be told that the teacher will be reading a book.  </w:t>
            </w:r>
            <w:r w:rsidR="00E96DC2" w:rsidRPr="006A46F1">
              <w:rPr>
                <w:rFonts w:ascii="KG Primary Penmanship 2" w:hAnsi="KG Primary Penmanship 2"/>
                <w:szCs w:val="16"/>
              </w:rPr>
              <w:t xml:space="preserve">If no one interrupts, while one page is read, the teacher will hang up a gold star. </w:t>
            </w:r>
          </w:p>
        </w:tc>
        <w:tc>
          <w:tcPr>
            <w:tcW w:w="5081" w:type="dxa"/>
          </w:tcPr>
          <w:p w14:paraId="6E3199B4" w14:textId="77777777" w:rsidR="00AC3A3B" w:rsidRPr="006A46F1" w:rsidRDefault="002C3228" w:rsidP="00511679">
            <w:pPr>
              <w:ind w:left="288"/>
              <w:rPr>
                <w:rFonts w:ascii="KG Primary Penmanship 2" w:hAnsi="KG Primary Penmanship 2"/>
                <w:b/>
                <w:bCs/>
                <w:szCs w:val="16"/>
              </w:rPr>
            </w:pPr>
            <w:r w:rsidRPr="006A46F1">
              <w:rPr>
                <w:rFonts w:ascii="KG Primary Penmanship 2" w:hAnsi="KG Primary Penmanship 2"/>
                <w:b/>
                <w:bCs/>
                <w:szCs w:val="16"/>
              </w:rPr>
              <w:t>Interrupting Jar</w:t>
            </w:r>
          </w:p>
          <w:p w14:paraId="2EA55013" w14:textId="77777777" w:rsidR="002C3228" w:rsidRPr="006A46F1" w:rsidRDefault="002C3228" w:rsidP="00511679">
            <w:pPr>
              <w:ind w:left="288"/>
              <w:rPr>
                <w:rFonts w:ascii="KG Primary Penmanship 2" w:hAnsi="KG Primary Penmanship 2"/>
                <w:szCs w:val="16"/>
              </w:rPr>
            </w:pPr>
          </w:p>
          <w:p w14:paraId="72D408A0" w14:textId="190508A0" w:rsidR="002C3228" w:rsidRPr="006A46F1" w:rsidRDefault="002C3228" w:rsidP="00511679">
            <w:pPr>
              <w:ind w:left="288"/>
              <w:rPr>
                <w:rFonts w:ascii="KG Primary Penmanship 2" w:hAnsi="KG Primary Penmanship 2"/>
                <w:szCs w:val="16"/>
              </w:rPr>
            </w:pPr>
            <w:r w:rsidRPr="006A46F1">
              <w:rPr>
                <w:rFonts w:ascii="KG Primary Penmanship 2" w:hAnsi="KG Primary Penmanship 2"/>
                <w:sz w:val="22"/>
                <w:szCs w:val="15"/>
              </w:rPr>
              <w:t xml:space="preserve">Every time your child waits to speak with you, not interrupting, place a pompom in a jar.  Once the jar is filled, do something special that was decided upon prior to starting the activity.  Does not have to be something big.  Some suggestion might </w:t>
            </w:r>
            <w:proofErr w:type="gramStart"/>
            <w:r w:rsidRPr="006A46F1">
              <w:rPr>
                <w:rFonts w:ascii="KG Primary Penmanship 2" w:hAnsi="KG Primary Penmanship 2"/>
                <w:sz w:val="22"/>
                <w:szCs w:val="15"/>
              </w:rPr>
              <w:t>be:</w:t>
            </w:r>
            <w:proofErr w:type="gramEnd"/>
            <w:r w:rsidRPr="006A46F1">
              <w:rPr>
                <w:rFonts w:ascii="KG Primary Penmanship 2" w:hAnsi="KG Primary Penmanship 2"/>
                <w:sz w:val="22"/>
                <w:szCs w:val="15"/>
              </w:rPr>
              <w:t xml:space="preserve"> go to the playground, bake cookies together, play with playdough.</w:t>
            </w:r>
          </w:p>
        </w:tc>
      </w:tr>
    </w:tbl>
    <w:p w14:paraId="056DE92B" w14:textId="01D42937" w:rsidR="0035667A" w:rsidRPr="003F2422" w:rsidRDefault="0035667A" w:rsidP="006A46F1">
      <w:pPr>
        <w:spacing w:before="120" w:after="100" w:afterAutospacing="1"/>
      </w:pPr>
    </w:p>
    <w:sectPr w:rsidR="0035667A" w:rsidRPr="003F2422"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E804" w14:textId="77777777" w:rsidR="00830760" w:rsidRDefault="00830760" w:rsidP="00A228C3">
      <w:r>
        <w:separator/>
      </w:r>
    </w:p>
  </w:endnote>
  <w:endnote w:type="continuationSeparator" w:id="0">
    <w:p w14:paraId="7341043C" w14:textId="77777777" w:rsidR="00830760" w:rsidRDefault="0083076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0E69" w14:textId="77777777" w:rsidR="00830760" w:rsidRDefault="00830760" w:rsidP="00A228C3">
      <w:r>
        <w:separator/>
      </w:r>
    </w:p>
  </w:footnote>
  <w:footnote w:type="continuationSeparator" w:id="0">
    <w:p w14:paraId="33EBD122" w14:textId="77777777" w:rsidR="00830760" w:rsidRDefault="0083076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22530F75"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FC4C6F">
      <w:rPr>
        <w:rFonts w:ascii="KG Primary Penmanship 2" w:hAnsi="KG Primary Penmanship 2"/>
        <w:sz w:val="32"/>
        <w:szCs w:val="32"/>
      </w:rPr>
      <w:t>1</w:t>
    </w:r>
    <w:r w:rsidR="0071064B">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314B79">
      <w:rPr>
        <w:rFonts w:ascii="KG Primary Penmanship 2" w:hAnsi="KG Primary Penmanship 2"/>
        <w:sz w:val="32"/>
        <w:szCs w:val="32"/>
      </w:rPr>
      <w:t>19</w:t>
    </w:r>
    <w:r w:rsidR="0035667A">
      <w:rPr>
        <w:rFonts w:ascii="KG Primary Penmanship 2" w:hAnsi="KG Primary Penmanship 2"/>
        <w:sz w:val="32"/>
        <w:szCs w:val="32"/>
      </w:rPr>
      <w:t>,</w:t>
    </w:r>
    <w:r w:rsidRPr="00A228C3">
      <w:rPr>
        <w:rFonts w:ascii="KG Primary Penmanship 2" w:hAnsi="KG Primary Penmanship 2"/>
        <w:sz w:val="32"/>
        <w:szCs w:val="32"/>
      </w:rPr>
      <w:t xml:space="preserve"> 202</w:t>
    </w:r>
    <w:r w:rsidR="00314B79">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2137624">
    <w:abstractNumId w:val="0"/>
  </w:num>
  <w:num w:numId="2" w16cid:durableId="332684116">
    <w:abstractNumId w:val="1"/>
  </w:num>
  <w:num w:numId="3" w16cid:durableId="875436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17EB6"/>
    <w:rsid w:val="002C3228"/>
    <w:rsid w:val="00314B79"/>
    <w:rsid w:val="003555D0"/>
    <w:rsid w:val="0035667A"/>
    <w:rsid w:val="003F2422"/>
    <w:rsid w:val="00581B4B"/>
    <w:rsid w:val="006A46F1"/>
    <w:rsid w:val="006E27BF"/>
    <w:rsid w:val="0071064B"/>
    <w:rsid w:val="00830760"/>
    <w:rsid w:val="008B2EC1"/>
    <w:rsid w:val="00A228C3"/>
    <w:rsid w:val="00AC3A3B"/>
    <w:rsid w:val="00B72836"/>
    <w:rsid w:val="00BE496E"/>
    <w:rsid w:val="00BE7C3C"/>
    <w:rsid w:val="00C04750"/>
    <w:rsid w:val="00C22CD3"/>
    <w:rsid w:val="00CA13CE"/>
    <w:rsid w:val="00D073EF"/>
    <w:rsid w:val="00DD4A2A"/>
    <w:rsid w:val="00E539A3"/>
    <w:rsid w:val="00E62B5D"/>
    <w:rsid w:val="00E96DC2"/>
    <w:rsid w:val="00EC12F5"/>
    <w:rsid w:val="00F0608F"/>
    <w:rsid w:val="00F33768"/>
    <w:rsid w:val="00FC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3</cp:revision>
  <cp:lastPrinted>2020-07-12T20:23:00Z</cp:lastPrinted>
  <dcterms:created xsi:type="dcterms:W3CDTF">2022-07-05T12:17:00Z</dcterms:created>
  <dcterms:modified xsi:type="dcterms:W3CDTF">2022-07-05T13:04:00Z</dcterms:modified>
</cp:coreProperties>
</file>