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B56DDA" w14:paraId="0E42CDA2" w14:textId="77777777" w:rsidTr="007311D0">
        <w:tc>
          <w:tcPr>
            <w:tcW w:w="4796" w:type="dxa"/>
          </w:tcPr>
          <w:p w14:paraId="61701993" w14:textId="04DF9DB3" w:rsidR="007311D0" w:rsidRPr="007311D0" w:rsidRDefault="007311D0" w:rsidP="007311D0">
            <w:pPr>
              <w:jc w:val="center"/>
              <w:rPr>
                <w:b/>
                <w:bCs/>
                <w:sz w:val="28"/>
                <w:szCs w:val="28"/>
              </w:rPr>
            </w:pPr>
            <w:r w:rsidRPr="007311D0">
              <w:rPr>
                <w:b/>
                <w:bCs/>
                <w:color w:val="00B050"/>
                <w:sz w:val="28"/>
                <w:szCs w:val="28"/>
              </w:rPr>
              <w:t>Standard</w:t>
            </w:r>
          </w:p>
        </w:tc>
        <w:tc>
          <w:tcPr>
            <w:tcW w:w="4797" w:type="dxa"/>
          </w:tcPr>
          <w:p w14:paraId="2491F4D2" w14:textId="1EBAD7A8" w:rsidR="007311D0" w:rsidRPr="007311D0" w:rsidRDefault="007311D0" w:rsidP="007311D0">
            <w:pPr>
              <w:jc w:val="center"/>
              <w:rPr>
                <w:b/>
                <w:bCs/>
                <w:sz w:val="28"/>
                <w:szCs w:val="28"/>
              </w:rPr>
            </w:pPr>
            <w:r w:rsidRPr="007311D0">
              <w:rPr>
                <w:b/>
                <w:bCs/>
                <w:color w:val="00B050"/>
                <w:sz w:val="28"/>
                <w:szCs w:val="28"/>
              </w:rPr>
              <w:t>Activity</w:t>
            </w:r>
          </w:p>
        </w:tc>
        <w:tc>
          <w:tcPr>
            <w:tcW w:w="4797" w:type="dxa"/>
          </w:tcPr>
          <w:p w14:paraId="0E69DCA8" w14:textId="50FB46F1" w:rsidR="007311D0" w:rsidRPr="007311D0" w:rsidRDefault="007311D0" w:rsidP="007311D0">
            <w:pPr>
              <w:jc w:val="center"/>
              <w:rPr>
                <w:b/>
                <w:bCs/>
                <w:sz w:val="28"/>
                <w:szCs w:val="28"/>
              </w:rPr>
            </w:pPr>
            <w:r w:rsidRPr="007311D0">
              <w:rPr>
                <w:b/>
                <w:bCs/>
                <w:color w:val="00B050"/>
                <w:sz w:val="28"/>
                <w:szCs w:val="28"/>
              </w:rPr>
              <w:t>Home Extension</w:t>
            </w:r>
          </w:p>
        </w:tc>
      </w:tr>
      <w:tr w:rsidR="00B56DDA" w14:paraId="09D23172" w14:textId="77777777" w:rsidTr="007311D0">
        <w:tc>
          <w:tcPr>
            <w:tcW w:w="4796" w:type="dxa"/>
          </w:tcPr>
          <w:p w14:paraId="5B2EA333" w14:textId="48F3F22D" w:rsidR="007F5FA2" w:rsidRPr="007F5FA2" w:rsidRDefault="007F5FA2" w:rsidP="001F306D">
            <w:pPr>
              <w:rPr>
                <w:rFonts w:ascii="KG Primary Penmanship 2" w:eastAsia="Times New Roman" w:hAnsi="KG Primary Penmanship 2"/>
                <w:b/>
                <w:bCs/>
                <w:color w:val="FF0000"/>
                <w:sz w:val="28"/>
                <w:szCs w:val="28"/>
              </w:rPr>
            </w:pPr>
            <w:r w:rsidRPr="007F5FA2">
              <w:rPr>
                <w:rFonts w:ascii="KG Primary Penmanship 2" w:eastAsia="Times New Roman" w:hAnsi="KG Primary Penmanship 2"/>
                <w:b/>
                <w:bCs/>
                <w:color w:val="FF0000"/>
                <w:sz w:val="28"/>
                <w:szCs w:val="28"/>
              </w:rPr>
              <w:t>I. Physical Development</w:t>
            </w:r>
            <w:r w:rsidR="007225F3" w:rsidRPr="00AC2A13">
              <w:rPr>
                <w:rFonts w:ascii="KG Primary Penmanship 2" w:eastAsia="Times New Roman" w:hAnsi="KG Primary Penmanship 2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F5FA2">
              <w:rPr>
                <w:rFonts w:ascii="KG Primary Penmanship 2" w:eastAsia="Times New Roman" w:hAnsi="KG Primary Penmanship 2" w:cstheme="minorHAnsi"/>
                <w:b/>
                <w:bCs/>
                <w:color w:val="FF0000"/>
                <w:sz w:val="20"/>
                <w:szCs w:val="20"/>
              </w:rPr>
              <w:t>A. HEALTH AND WELLBEING</w:t>
            </w:r>
            <w:r w:rsidR="001F306D" w:rsidRPr="00AC2A13">
              <w:rPr>
                <w:rFonts w:ascii="KG Primary Penmanship 2" w:eastAsia="Times New Roman" w:hAnsi="KG Primary Penmanship 2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F5FA2">
              <w:rPr>
                <w:rFonts w:ascii="KG Primary Penmanship 2" w:eastAsia="Times New Roman" w:hAnsi="KG Primary Penmanship 2"/>
                <w:color w:val="FF0000"/>
                <w:sz w:val="20"/>
                <w:szCs w:val="20"/>
              </w:rPr>
              <w:t>d. Feeding and Nutrition</w:t>
            </w:r>
            <w:r w:rsidR="007225F3" w:rsidRPr="00AC2A13">
              <w:rPr>
                <w:rFonts w:ascii="KG Primary Penmanship 2" w:eastAsia="Times New Roman" w:hAnsi="KG Primary Penmanship 2"/>
                <w:color w:val="FF0000"/>
                <w:sz w:val="20"/>
                <w:szCs w:val="20"/>
              </w:rPr>
              <w:t xml:space="preserve"> </w:t>
            </w:r>
            <w:r w:rsidRPr="007F5FA2">
              <w:rPr>
                <w:rFonts w:ascii="KG Primary Penmanship 2" w:eastAsia="Times New Roman" w:hAnsi="KG Primary Penmanship 2"/>
                <w:color w:val="FF0000"/>
                <w:sz w:val="20"/>
                <w:szCs w:val="20"/>
              </w:rPr>
              <w:t>1. Responds to feeding or feeds self with increasing efficiency and demonstrates increasing interest in eating habits and making food choices</w:t>
            </w:r>
            <w:r w:rsidR="001F306D" w:rsidRPr="00AC2A13">
              <w:rPr>
                <w:rFonts w:ascii="KG Primary Penmanship 2" w:eastAsia="Times New Roman" w:hAnsi="KG Primary Penmanship 2"/>
                <w:color w:val="FF0000"/>
                <w:sz w:val="20"/>
                <w:szCs w:val="20"/>
              </w:rPr>
              <w:t xml:space="preserve"> </w:t>
            </w:r>
            <w:r w:rsidRPr="007F5FA2">
              <w:rPr>
                <w:rFonts w:ascii="KG Primary Penmanship 2" w:eastAsia="Times New Roman" w:hAnsi="KG Primary Penmanship 2"/>
                <w:color w:val="FF0000"/>
                <w:sz w:val="20"/>
                <w:szCs w:val="20"/>
              </w:rPr>
              <w:t>Benchmark b.</w:t>
            </w:r>
            <w:r w:rsidR="007225F3" w:rsidRPr="00AC2A13">
              <w:rPr>
                <w:rFonts w:ascii="KG Primary Penmanship 2" w:eastAsia="Times New Roman" w:hAnsi="KG Primary Penmanship 2"/>
                <w:color w:val="FF0000"/>
                <w:sz w:val="20"/>
                <w:szCs w:val="20"/>
              </w:rPr>
              <w:t xml:space="preserve"> </w:t>
            </w:r>
            <w:r w:rsidRPr="007F5FA2">
              <w:rPr>
                <w:rFonts w:ascii="KG Primary Penmanship 2" w:eastAsia="Times New Roman" w:hAnsi="KG Primary Penmanship 2"/>
                <w:color w:val="FF0000"/>
                <w:sz w:val="20"/>
                <w:szCs w:val="20"/>
              </w:rPr>
              <w:t>Begins to recognize nutritious food choices and healthy eating habits</w:t>
            </w:r>
          </w:p>
          <w:p w14:paraId="33D786F6" w14:textId="77777777" w:rsidR="007311D0" w:rsidRDefault="007311D0"/>
        </w:tc>
        <w:tc>
          <w:tcPr>
            <w:tcW w:w="4797" w:type="dxa"/>
          </w:tcPr>
          <w:p w14:paraId="02D184BD" w14:textId="77777777" w:rsidR="005220D2" w:rsidRDefault="0047342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8846B6">
              <w:rPr>
                <w:rFonts w:ascii="Calibri" w:eastAsia="Calibri" w:hAnsi="Calibri" w:cs="Calibri"/>
                <w:color w:val="000000" w:themeColor="text1"/>
              </w:rPr>
              <w:t>Locusts and Honey Snack</w:t>
            </w:r>
            <w:r w:rsidR="00274907" w:rsidRPr="008846B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8846B6">
              <w:rPr>
                <w:rFonts w:ascii="Calibri" w:eastAsia="Calibri" w:hAnsi="Calibri" w:cs="Calibri"/>
                <w:color w:val="000000" w:themeColor="text1"/>
              </w:rPr>
              <w:t>(Sunflower butter, celery, pretzel legs drizzled with honey)</w:t>
            </w:r>
            <w:r w:rsidR="00274907" w:rsidRPr="008846B6">
              <w:rPr>
                <w:rFonts w:ascii="Calibri" w:eastAsia="Calibri" w:hAnsi="Calibri" w:cs="Calibri"/>
                <w:color w:val="000000" w:themeColor="text1"/>
              </w:rPr>
              <w:t xml:space="preserve"> This week we will be talking about John the Baptist. </w:t>
            </w:r>
            <w:r w:rsidR="00342A81" w:rsidRPr="008846B6">
              <w:rPr>
                <w:rFonts w:ascii="Calibri" w:eastAsia="Calibri" w:hAnsi="Calibri" w:cs="Calibri"/>
                <w:color w:val="000000" w:themeColor="text1"/>
              </w:rPr>
              <w:t>John was known for</w:t>
            </w:r>
            <w:r w:rsidR="002344A7" w:rsidRPr="008846B6">
              <w:rPr>
                <w:rFonts w:ascii="Calibri" w:eastAsia="Calibri" w:hAnsi="Calibri" w:cs="Calibri"/>
                <w:color w:val="000000" w:themeColor="text1"/>
              </w:rPr>
              <w:t xml:space="preserve"> eating</w:t>
            </w:r>
            <w:r w:rsidR="00342A81" w:rsidRPr="008846B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2344A7" w:rsidRPr="008846B6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342A81" w:rsidRPr="008846B6">
              <w:rPr>
                <w:rFonts w:ascii="Calibri" w:eastAsia="Calibri" w:hAnsi="Calibri" w:cs="Calibri"/>
                <w:color w:val="000000" w:themeColor="text1"/>
              </w:rPr>
              <w:t>ocust</w:t>
            </w:r>
            <w:r w:rsidR="00AF1033" w:rsidRPr="008846B6">
              <w:rPr>
                <w:rFonts w:ascii="Calibri" w:eastAsia="Calibri" w:hAnsi="Calibri" w:cs="Calibri"/>
                <w:color w:val="000000" w:themeColor="text1"/>
              </w:rPr>
              <w:t xml:space="preserve"> and honey </w:t>
            </w:r>
            <w:r w:rsidR="002344A7" w:rsidRPr="008846B6">
              <w:rPr>
                <w:rFonts w:ascii="Calibri" w:eastAsia="Calibri" w:hAnsi="Calibri" w:cs="Calibri"/>
                <w:color w:val="000000" w:themeColor="text1"/>
              </w:rPr>
              <w:t xml:space="preserve">because he </w:t>
            </w:r>
            <w:r w:rsidR="00E7390C" w:rsidRPr="008846B6">
              <w:rPr>
                <w:rFonts w:ascii="Calibri" w:eastAsia="Calibri" w:hAnsi="Calibri" w:cs="Calibri"/>
                <w:color w:val="000000" w:themeColor="text1"/>
              </w:rPr>
              <w:t xml:space="preserve">lived in the </w:t>
            </w:r>
            <w:r w:rsidR="00B54B91" w:rsidRPr="008846B6">
              <w:rPr>
                <w:rFonts w:ascii="Calibri" w:eastAsia="Calibri" w:hAnsi="Calibri" w:cs="Calibri"/>
                <w:color w:val="000000" w:themeColor="text1"/>
              </w:rPr>
              <w:t xml:space="preserve">wilderness. </w:t>
            </w:r>
            <w:r w:rsidR="00CA7C1D" w:rsidRPr="008846B6">
              <w:rPr>
                <w:rFonts w:ascii="Calibri" w:eastAsia="Calibri" w:hAnsi="Calibri" w:cs="Calibri"/>
                <w:color w:val="000000" w:themeColor="text1"/>
              </w:rPr>
              <w:t>During an afternoon snack this week we will be offering the kids their own version of Locusts and Hone</w:t>
            </w:r>
            <w:r w:rsidR="0032528C">
              <w:rPr>
                <w:rFonts w:ascii="Calibri" w:eastAsia="Calibri" w:hAnsi="Calibri" w:cs="Calibri"/>
                <w:color w:val="000000" w:themeColor="text1"/>
              </w:rPr>
              <w:t>y.</w:t>
            </w:r>
          </w:p>
          <w:p w14:paraId="6E614D4D" w14:textId="6F5F1312" w:rsidR="0032528C" w:rsidRPr="008846B6" w:rsidRDefault="0032528C" w:rsidP="0032528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noProof/>
                <w:color w:val="000000" w:themeColor="text1"/>
              </w:rPr>
              <w:drawing>
                <wp:inline distT="0" distB="0" distL="0" distR="0" wp14:anchorId="2D6B8477" wp14:editId="702CE192">
                  <wp:extent cx="1247775" cy="935831"/>
                  <wp:effectExtent l="0" t="0" r="0" b="0"/>
                  <wp:docPr id="1" name="Picture 1" descr="A plate of foo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late of food&#10;&#10;Description automatically generated with medium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47" cy="94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25DF7D2F" w14:textId="096BA3AD" w:rsidR="007311D0" w:rsidRDefault="00A21780">
            <w:r>
              <w:t xml:space="preserve">What are </w:t>
            </w:r>
            <w:r w:rsidR="00B704E8">
              <w:t>some other healthy foods you can use to create “locusts</w:t>
            </w:r>
            <w:r w:rsidR="003B6F1C">
              <w:t>”?</w:t>
            </w:r>
            <w:r w:rsidR="0046420B">
              <w:t xml:space="preserve"> </w:t>
            </w:r>
            <w:r w:rsidR="003B6F1C">
              <w:t xml:space="preserve">Sit down with your </w:t>
            </w:r>
            <w:r w:rsidR="006F3926">
              <w:t>family</w:t>
            </w:r>
            <w:r w:rsidR="003B6F1C">
              <w:t xml:space="preserve"> and create some fun, healthy “locusts” snacks and </w:t>
            </w:r>
            <w:r w:rsidR="00015B72">
              <w:t xml:space="preserve">hold a discussion </w:t>
            </w:r>
            <w:r w:rsidR="006F3926">
              <w:t>about “John the Baptist”</w:t>
            </w:r>
          </w:p>
        </w:tc>
      </w:tr>
      <w:tr w:rsidR="00B56DDA" w14:paraId="0DDF6086" w14:textId="77777777" w:rsidTr="007311D0">
        <w:tc>
          <w:tcPr>
            <w:tcW w:w="4796" w:type="dxa"/>
          </w:tcPr>
          <w:p w14:paraId="57D312C2" w14:textId="77777777" w:rsidR="00AC2A13" w:rsidRPr="007F5FA2" w:rsidRDefault="00AC2A13" w:rsidP="00AC2A13">
            <w:pPr>
              <w:rPr>
                <w:rFonts w:ascii="KG Primary Penmanship 2" w:eastAsia="Times New Roman" w:hAnsi="KG Primary Penmanship 2"/>
                <w:b/>
                <w:bCs/>
                <w:color w:val="FF0000"/>
                <w:sz w:val="28"/>
                <w:szCs w:val="28"/>
              </w:rPr>
            </w:pPr>
            <w:r w:rsidRPr="007F5FA2">
              <w:rPr>
                <w:rFonts w:ascii="KG Primary Penmanship 2" w:eastAsia="Times New Roman" w:hAnsi="KG Primary Penmanship 2"/>
                <w:b/>
                <w:bCs/>
                <w:color w:val="FF0000"/>
                <w:sz w:val="28"/>
                <w:szCs w:val="28"/>
              </w:rPr>
              <w:t>I. Physical Development</w:t>
            </w:r>
            <w:r w:rsidRPr="00AC2A13">
              <w:rPr>
                <w:rFonts w:ascii="KG Primary Penmanship 2" w:eastAsia="Times New Roman" w:hAnsi="KG Primary Penmanship 2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F5FA2">
              <w:rPr>
                <w:rFonts w:ascii="KG Primary Penmanship 2" w:eastAsia="Times New Roman" w:hAnsi="KG Primary Penmanship 2" w:cstheme="minorHAnsi"/>
                <w:b/>
                <w:bCs/>
                <w:color w:val="FF0000"/>
                <w:sz w:val="20"/>
                <w:szCs w:val="20"/>
              </w:rPr>
              <w:t>A. HEALTH AND WELLBEING</w:t>
            </w:r>
            <w:r w:rsidRPr="00AC2A13">
              <w:rPr>
                <w:rFonts w:ascii="KG Primary Penmanship 2" w:eastAsia="Times New Roman" w:hAnsi="KG Primary Penmanship 2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F5FA2">
              <w:rPr>
                <w:rFonts w:ascii="KG Primary Penmanship 2" w:eastAsia="Times New Roman" w:hAnsi="KG Primary Penmanship 2"/>
                <w:color w:val="FF0000"/>
                <w:sz w:val="20"/>
                <w:szCs w:val="20"/>
              </w:rPr>
              <w:t>d. Feeding and Nutrition</w:t>
            </w:r>
            <w:r w:rsidRPr="00AC2A13">
              <w:rPr>
                <w:rFonts w:ascii="KG Primary Penmanship 2" w:eastAsia="Times New Roman" w:hAnsi="KG Primary Penmanship 2"/>
                <w:color w:val="FF0000"/>
                <w:sz w:val="20"/>
                <w:szCs w:val="20"/>
              </w:rPr>
              <w:t xml:space="preserve"> </w:t>
            </w:r>
            <w:r w:rsidRPr="007F5FA2">
              <w:rPr>
                <w:rFonts w:ascii="KG Primary Penmanship 2" w:eastAsia="Times New Roman" w:hAnsi="KG Primary Penmanship 2"/>
                <w:color w:val="FF0000"/>
                <w:sz w:val="20"/>
                <w:szCs w:val="20"/>
              </w:rPr>
              <w:t>1. Responds to feeding or feeds self with increasing efficiency and demonstrates increasing interest in eating habits and making food choices</w:t>
            </w:r>
            <w:r w:rsidRPr="00AC2A13">
              <w:rPr>
                <w:rFonts w:ascii="KG Primary Penmanship 2" w:eastAsia="Times New Roman" w:hAnsi="KG Primary Penmanship 2"/>
                <w:color w:val="FF0000"/>
                <w:sz w:val="20"/>
                <w:szCs w:val="20"/>
              </w:rPr>
              <w:t xml:space="preserve"> </w:t>
            </w:r>
            <w:r w:rsidRPr="007F5FA2">
              <w:rPr>
                <w:rFonts w:ascii="KG Primary Penmanship 2" w:eastAsia="Times New Roman" w:hAnsi="KG Primary Penmanship 2"/>
                <w:color w:val="FF0000"/>
                <w:sz w:val="20"/>
                <w:szCs w:val="20"/>
              </w:rPr>
              <w:t>Benchmark b.</w:t>
            </w:r>
            <w:r w:rsidRPr="00AC2A13">
              <w:rPr>
                <w:rFonts w:ascii="KG Primary Penmanship 2" w:eastAsia="Times New Roman" w:hAnsi="KG Primary Penmanship 2"/>
                <w:color w:val="FF0000"/>
                <w:sz w:val="20"/>
                <w:szCs w:val="20"/>
              </w:rPr>
              <w:t xml:space="preserve"> </w:t>
            </w:r>
            <w:r w:rsidRPr="007F5FA2">
              <w:rPr>
                <w:rFonts w:ascii="KG Primary Penmanship 2" w:eastAsia="Times New Roman" w:hAnsi="KG Primary Penmanship 2"/>
                <w:color w:val="FF0000"/>
                <w:sz w:val="20"/>
                <w:szCs w:val="20"/>
              </w:rPr>
              <w:t>Begins to recognize nutritious food choices and healthy eating habits</w:t>
            </w:r>
          </w:p>
          <w:p w14:paraId="5FBF8CD2" w14:textId="77777777" w:rsidR="007311D0" w:rsidRDefault="007311D0"/>
        </w:tc>
        <w:tc>
          <w:tcPr>
            <w:tcW w:w="4797" w:type="dxa"/>
          </w:tcPr>
          <w:p w14:paraId="3782C985" w14:textId="77777777" w:rsidR="007311D0" w:rsidRDefault="00CF332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The children will get to </w:t>
            </w:r>
            <w:r w:rsidR="00D9328C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0026041B" w:rsidRPr="008846B6">
              <w:rPr>
                <w:rFonts w:ascii="Calibri" w:eastAsia="Calibri" w:hAnsi="Calibri" w:cs="Calibri"/>
                <w:color w:val="000000" w:themeColor="text1"/>
              </w:rPr>
              <w:t xml:space="preserve">ip </w:t>
            </w:r>
            <w:r w:rsidR="0098738A">
              <w:rPr>
                <w:rFonts w:ascii="Calibri" w:eastAsia="Calibri" w:hAnsi="Calibri" w:cs="Calibri"/>
                <w:color w:val="000000" w:themeColor="text1"/>
              </w:rPr>
              <w:t xml:space="preserve">their </w:t>
            </w:r>
            <w:r w:rsidR="0026041B" w:rsidRPr="008846B6">
              <w:rPr>
                <w:rFonts w:ascii="Calibri" w:eastAsia="Calibri" w:hAnsi="Calibri" w:cs="Calibri"/>
                <w:color w:val="000000" w:themeColor="text1"/>
              </w:rPr>
              <w:t xml:space="preserve">hands in sticky foods </w:t>
            </w:r>
            <w:r w:rsidR="00D9328C">
              <w:rPr>
                <w:rFonts w:ascii="Calibri" w:eastAsia="Calibri" w:hAnsi="Calibri" w:cs="Calibri"/>
                <w:color w:val="000000" w:themeColor="text1"/>
              </w:rPr>
              <w:t>which will</w:t>
            </w:r>
            <w:r w:rsidR="0026041B" w:rsidRPr="008846B6">
              <w:rPr>
                <w:rFonts w:ascii="Calibri" w:eastAsia="Calibri" w:hAnsi="Calibri" w:cs="Calibri"/>
                <w:color w:val="000000" w:themeColor="text1"/>
              </w:rPr>
              <w:t xml:space="preserve"> symbolize sin and wash it away with water</w:t>
            </w:r>
            <w:r w:rsidR="005D6F38">
              <w:rPr>
                <w:rFonts w:ascii="Calibri" w:eastAsia="Calibri" w:hAnsi="Calibri" w:cs="Calibri"/>
                <w:color w:val="000000" w:themeColor="text1"/>
              </w:rPr>
              <w:t xml:space="preserve">, that will symbolize baptism, as we talk about how </w:t>
            </w:r>
            <w:r w:rsidR="00D1196C">
              <w:rPr>
                <w:rFonts w:ascii="Calibri" w:eastAsia="Calibri" w:hAnsi="Calibri" w:cs="Calibri"/>
                <w:color w:val="000000" w:themeColor="text1"/>
              </w:rPr>
              <w:t xml:space="preserve">John the Baptist baptized Jesus. </w:t>
            </w:r>
          </w:p>
          <w:p w14:paraId="528A4D26" w14:textId="6AFD5486" w:rsidR="00B56DDA" w:rsidRPr="008846B6" w:rsidRDefault="00B56DDA" w:rsidP="00B56DD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A097E9" wp14:editId="220A400E">
                  <wp:extent cx="1371600" cy="1043468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75" t="1666" r="7812" b="10000"/>
                          <a:stretch/>
                        </pic:blipFill>
                        <pic:spPr bwMode="auto">
                          <a:xfrm>
                            <a:off x="0" y="0"/>
                            <a:ext cx="1371600" cy="1043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1EBE841F" w14:textId="35455AA2" w:rsidR="007311D0" w:rsidRDefault="00135A2A">
            <w:r>
              <w:t xml:space="preserve">Let your child help with dinner one night. As their hands get dirty and sticky from the </w:t>
            </w:r>
            <w:r w:rsidR="001A3894">
              <w:t xml:space="preserve">food prep, </w:t>
            </w:r>
            <w:r w:rsidR="0002715C">
              <w:t xml:space="preserve">open up a </w:t>
            </w:r>
            <w:r w:rsidR="001A3894">
              <w:t>discuss</w:t>
            </w:r>
            <w:r w:rsidR="0002715C">
              <w:t>ion</w:t>
            </w:r>
            <w:r w:rsidR="001A3894">
              <w:t xml:space="preserve"> with them about sin and baptism.</w:t>
            </w:r>
          </w:p>
        </w:tc>
      </w:tr>
      <w:tr w:rsidR="00B56DDA" w14:paraId="4F80196A" w14:textId="77777777" w:rsidTr="007311D0">
        <w:tc>
          <w:tcPr>
            <w:tcW w:w="4796" w:type="dxa"/>
          </w:tcPr>
          <w:p w14:paraId="4D869E31" w14:textId="4C50A0B0" w:rsidR="007311D0" w:rsidRPr="00E866C7" w:rsidRDefault="00E866C7">
            <w:r w:rsidRPr="00E866C7">
              <w:rPr>
                <w:b/>
                <w:bCs/>
                <w:color w:val="FF0000"/>
              </w:rPr>
              <w:t>VI. Scientific Inquiry</w:t>
            </w:r>
            <w:r w:rsidRPr="00E866C7">
              <w:rPr>
                <w:color w:val="FF0000"/>
              </w:rPr>
              <w:t xml:space="preserve"> </w:t>
            </w:r>
            <w:r w:rsidRPr="00E866C7">
              <w:rPr>
                <w:b/>
                <w:bCs/>
                <w:color w:val="FF0000"/>
              </w:rPr>
              <w:t xml:space="preserve">C. PHYSICAL SCIENCE </w:t>
            </w:r>
            <w:r w:rsidRPr="00E866C7">
              <w:rPr>
                <w:color w:val="FF0000"/>
              </w:rPr>
              <w:t>1. Demonstrates knowledge related to physical science</w:t>
            </w:r>
            <w:r w:rsidRPr="00E866C7">
              <w:rPr>
                <w:b/>
                <w:bCs/>
                <w:color w:val="FF0000"/>
              </w:rPr>
              <w:t xml:space="preserve"> </w:t>
            </w:r>
            <w:r w:rsidRPr="00E866C7">
              <w:rPr>
                <w:color w:val="FF0000"/>
              </w:rPr>
              <w:t>Benchmark a.</w:t>
            </w:r>
            <w:r w:rsidRPr="00E866C7">
              <w:rPr>
                <w:b/>
                <w:bCs/>
                <w:color w:val="FF0000"/>
              </w:rPr>
              <w:t xml:space="preserve"> </w:t>
            </w:r>
            <w:r w:rsidRPr="00E866C7">
              <w:rPr>
                <w:color w:val="FF0000"/>
              </w:rPr>
              <w:t>Explores and investigates objects that require positioning and movement through play (e.g., gears, marble chutes, screws in a toy workbench)</w:t>
            </w:r>
          </w:p>
        </w:tc>
        <w:tc>
          <w:tcPr>
            <w:tcW w:w="4797" w:type="dxa"/>
          </w:tcPr>
          <w:p w14:paraId="4C38968D" w14:textId="0752C686" w:rsidR="00320EE1" w:rsidRDefault="008763E1" w:rsidP="008763E1">
            <w:r>
              <w:t xml:space="preserve">In our science center the children </w:t>
            </w:r>
            <w:r w:rsidR="00733E5F">
              <w:t xml:space="preserve">will </w:t>
            </w:r>
            <w:r>
              <w:t xml:space="preserve">have a </w:t>
            </w:r>
            <w:r w:rsidR="00681A7F">
              <w:t>chance to</w:t>
            </w:r>
            <w:r w:rsidR="008D368E">
              <w:t xml:space="preserve"> explore </w:t>
            </w:r>
            <w:r w:rsidR="001E4AF8">
              <w:t xml:space="preserve">different tools and types of screws by using a </w:t>
            </w:r>
            <w:r w:rsidR="006F12C5">
              <w:t>Screwdriver Board. This is a great fine motor skill that will help build up hand strength</w:t>
            </w:r>
            <w:r w:rsidR="008D5ECA">
              <w:t xml:space="preserve"> for writing. </w:t>
            </w:r>
          </w:p>
          <w:p w14:paraId="406F8967" w14:textId="1B1A98F2" w:rsidR="007311D0" w:rsidRDefault="00767801" w:rsidP="008D5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208F61" wp14:editId="35EF6C21">
                  <wp:extent cx="1367008" cy="1171575"/>
                  <wp:effectExtent l="0" t="0" r="5080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83" t="36111"/>
                          <a:stretch/>
                        </pic:blipFill>
                        <pic:spPr bwMode="auto">
                          <a:xfrm>
                            <a:off x="0" y="0"/>
                            <a:ext cx="1398418" cy="1198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11F718D3" w14:textId="1168F3A0" w:rsidR="007311D0" w:rsidRDefault="00331342">
            <w:r>
              <w:t xml:space="preserve">If you happen to have any </w:t>
            </w:r>
            <w:r w:rsidR="00EF7F33">
              <w:t>small projects ar</w:t>
            </w:r>
            <w:r w:rsidR="00883E3E">
              <w:t xml:space="preserve">ound the house that requires screws, offer to have your child help you. </w:t>
            </w:r>
          </w:p>
        </w:tc>
      </w:tr>
    </w:tbl>
    <w:p w14:paraId="13812EF9" w14:textId="77777777" w:rsidR="007311D0" w:rsidRDefault="007311D0"/>
    <w:sectPr w:rsidR="007311D0" w:rsidSect="007311D0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C475" w14:textId="77777777" w:rsidR="000B1107" w:rsidRDefault="000B1107" w:rsidP="007311D0">
      <w:pPr>
        <w:spacing w:after="0" w:line="240" w:lineRule="auto"/>
      </w:pPr>
      <w:r>
        <w:separator/>
      </w:r>
    </w:p>
  </w:endnote>
  <w:endnote w:type="continuationSeparator" w:id="0">
    <w:p w14:paraId="5DC6D6FA" w14:textId="77777777" w:rsidR="000B1107" w:rsidRDefault="000B1107" w:rsidP="0073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920B" w14:textId="77777777" w:rsidR="000B1107" w:rsidRDefault="000B1107" w:rsidP="007311D0">
      <w:pPr>
        <w:spacing w:after="0" w:line="240" w:lineRule="auto"/>
      </w:pPr>
      <w:r>
        <w:separator/>
      </w:r>
    </w:p>
  </w:footnote>
  <w:footnote w:type="continuationSeparator" w:id="0">
    <w:p w14:paraId="7AEF812C" w14:textId="77777777" w:rsidR="000B1107" w:rsidRDefault="000B1107" w:rsidP="0073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A5D2" w14:textId="020C7EDE" w:rsidR="007311D0" w:rsidRDefault="007311D0">
    <w:pPr>
      <w:pStyle w:val="Header"/>
    </w:pPr>
    <w:r>
      <w:t>Preschool II, Erica Reynolds</w:t>
    </w:r>
    <w:r>
      <w:ptab w:relativeTo="margin" w:alignment="center" w:leader="none"/>
    </w:r>
    <w:r>
      <w:t xml:space="preserve">                                                                                   Easter Unit                                                                                                               March 7,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D0"/>
    <w:rsid w:val="000042E5"/>
    <w:rsid w:val="00015B72"/>
    <w:rsid w:val="0002715C"/>
    <w:rsid w:val="000B1107"/>
    <w:rsid w:val="00135A2A"/>
    <w:rsid w:val="001A3894"/>
    <w:rsid w:val="001E4AF8"/>
    <w:rsid w:val="001F306D"/>
    <w:rsid w:val="002344A7"/>
    <w:rsid w:val="0026041B"/>
    <w:rsid w:val="00274907"/>
    <w:rsid w:val="00320EE1"/>
    <w:rsid w:val="0032528C"/>
    <w:rsid w:val="00331342"/>
    <w:rsid w:val="00342A81"/>
    <w:rsid w:val="0036426F"/>
    <w:rsid w:val="003B6F1C"/>
    <w:rsid w:val="003E7254"/>
    <w:rsid w:val="0046420B"/>
    <w:rsid w:val="00473429"/>
    <w:rsid w:val="005220D2"/>
    <w:rsid w:val="005D6F38"/>
    <w:rsid w:val="00681A7F"/>
    <w:rsid w:val="006B0662"/>
    <w:rsid w:val="006E35BD"/>
    <w:rsid w:val="006F12C5"/>
    <w:rsid w:val="006F3926"/>
    <w:rsid w:val="007073C8"/>
    <w:rsid w:val="007225F3"/>
    <w:rsid w:val="007311D0"/>
    <w:rsid w:val="00733E5F"/>
    <w:rsid w:val="00734082"/>
    <w:rsid w:val="00767801"/>
    <w:rsid w:val="007F5FA2"/>
    <w:rsid w:val="008763E1"/>
    <w:rsid w:val="00883E3E"/>
    <w:rsid w:val="008846B6"/>
    <w:rsid w:val="008A769D"/>
    <w:rsid w:val="008D368E"/>
    <w:rsid w:val="008D5ECA"/>
    <w:rsid w:val="0098738A"/>
    <w:rsid w:val="009B3B1E"/>
    <w:rsid w:val="00A21780"/>
    <w:rsid w:val="00A26517"/>
    <w:rsid w:val="00AC2A13"/>
    <w:rsid w:val="00AF1033"/>
    <w:rsid w:val="00B54B91"/>
    <w:rsid w:val="00B56DDA"/>
    <w:rsid w:val="00B704E8"/>
    <w:rsid w:val="00CA7C1D"/>
    <w:rsid w:val="00CF332D"/>
    <w:rsid w:val="00D1196C"/>
    <w:rsid w:val="00D9328C"/>
    <w:rsid w:val="00DF4D19"/>
    <w:rsid w:val="00E7390C"/>
    <w:rsid w:val="00E866C7"/>
    <w:rsid w:val="00E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5610"/>
  <w15:chartTrackingRefBased/>
  <w15:docId w15:val="{9CE10A04-63B4-49A1-BA53-DFB3B094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1D0"/>
  </w:style>
  <w:style w:type="paragraph" w:styleId="Footer">
    <w:name w:val="footer"/>
    <w:basedOn w:val="Normal"/>
    <w:link w:val="FooterChar"/>
    <w:uiPriority w:val="99"/>
    <w:unhideWhenUsed/>
    <w:rsid w:val="00731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1D0"/>
  </w:style>
  <w:style w:type="table" w:styleId="TableGrid">
    <w:name w:val="Table Grid"/>
    <w:basedOn w:val="TableNormal"/>
    <w:uiPriority w:val="39"/>
    <w:rsid w:val="0073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22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reynolds</dc:creator>
  <cp:keywords/>
  <dc:description/>
  <cp:lastModifiedBy>erica reynolds</cp:lastModifiedBy>
  <cp:revision>55</cp:revision>
  <dcterms:created xsi:type="dcterms:W3CDTF">2022-02-28T18:47:00Z</dcterms:created>
  <dcterms:modified xsi:type="dcterms:W3CDTF">2022-03-06T23:38:00Z</dcterms:modified>
</cp:coreProperties>
</file>