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BA6CDA" w14:paraId="22AC902C" w14:textId="77777777" w:rsidTr="00BA6CDA">
        <w:tc>
          <w:tcPr>
            <w:tcW w:w="4796" w:type="dxa"/>
          </w:tcPr>
          <w:p w14:paraId="3737F748" w14:textId="68F563E1" w:rsidR="00BA6CDA" w:rsidRPr="00BA6CDA" w:rsidRDefault="00BA6CDA" w:rsidP="00BA6CDA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b/>
                <w:bCs/>
                <w:color w:val="70AD47" w:themeColor="accent6"/>
                <w:sz w:val="28"/>
                <w:szCs w:val="28"/>
              </w:rPr>
              <w:t>STANDARDS</w:t>
            </w:r>
          </w:p>
        </w:tc>
        <w:tc>
          <w:tcPr>
            <w:tcW w:w="4797" w:type="dxa"/>
          </w:tcPr>
          <w:p w14:paraId="791652B4" w14:textId="5BAD8B5B" w:rsidR="00BA6CDA" w:rsidRPr="00BA6CDA" w:rsidRDefault="00BA6CDA" w:rsidP="00BA6CDA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b/>
                <w:bCs/>
                <w:color w:val="70AD47" w:themeColor="accent6"/>
                <w:sz w:val="28"/>
                <w:szCs w:val="28"/>
              </w:rPr>
              <w:t>ACTIVITY</w:t>
            </w:r>
          </w:p>
        </w:tc>
        <w:tc>
          <w:tcPr>
            <w:tcW w:w="4797" w:type="dxa"/>
          </w:tcPr>
          <w:p w14:paraId="686FC384" w14:textId="61228761" w:rsidR="00BA6CDA" w:rsidRPr="00BA6CDA" w:rsidRDefault="00BA6CDA" w:rsidP="00BA6CDA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b/>
                <w:bCs/>
                <w:color w:val="70AD47" w:themeColor="accent6"/>
                <w:sz w:val="28"/>
                <w:szCs w:val="28"/>
              </w:rPr>
              <w:t>HOME EXTENSION</w:t>
            </w:r>
          </w:p>
        </w:tc>
      </w:tr>
      <w:tr w:rsidR="00BA6CDA" w14:paraId="6EA3148D" w14:textId="77777777" w:rsidTr="00BA6CDA">
        <w:tc>
          <w:tcPr>
            <w:tcW w:w="4796" w:type="dxa"/>
          </w:tcPr>
          <w:p w14:paraId="4E490A63" w14:textId="353F9DF1" w:rsidR="00F2513B" w:rsidRPr="00F2513B" w:rsidRDefault="00F2513B" w:rsidP="00F2513B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2513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I. Physical Development</w:t>
            </w:r>
            <w:r w:rsidRPr="00F2513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F2513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A. HEALTH AND WELLBEING</w:t>
            </w:r>
            <w:r w:rsidRPr="00F2513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2513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d. Feeding and Nutrition</w:t>
            </w:r>
            <w:r w:rsidRPr="00F2513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F2513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1. Responds to feeding or feeds self with increasing efficiency and demonstrates increasing interest in eating habits and making </w:t>
            </w:r>
            <w:r w:rsidRPr="00F2513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food Benchmark</w:t>
            </w:r>
            <w:r w:rsidRPr="00F2513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b.</w:t>
            </w:r>
            <w:r w:rsidRPr="00F2513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F2513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Begins to recognize nutritious food choices and healthy eating habits</w:t>
            </w:r>
          </w:p>
          <w:p w14:paraId="5123AD11" w14:textId="77777777" w:rsidR="00BA6CDA" w:rsidRPr="00F2513B" w:rsidRDefault="00BA6CD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797" w:type="dxa"/>
          </w:tcPr>
          <w:p w14:paraId="60B35125" w14:textId="46AD9B4C" w:rsidR="00BA6CDA" w:rsidRPr="003A6A21" w:rsidRDefault="00517C4B" w:rsidP="0060347E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We will be having a </w:t>
            </w:r>
            <w:r w:rsidR="0060347E" w:rsidRPr="0060347E">
              <w:rPr>
                <w:rFonts w:ascii="Arial" w:eastAsia="Calibri" w:hAnsi="Arial" w:cs="Arial"/>
                <w:color w:val="000000" w:themeColor="text1"/>
              </w:rPr>
              <w:t>Last Supper</w:t>
            </w:r>
            <w:r w:rsidR="001B4956">
              <w:rPr>
                <w:rFonts w:ascii="Arial" w:eastAsia="Calibri" w:hAnsi="Arial" w:cs="Arial"/>
                <w:color w:val="000000" w:themeColor="text1"/>
              </w:rPr>
              <w:t>/Passover</w:t>
            </w:r>
            <w:r w:rsidR="0060347E" w:rsidRPr="0060347E">
              <w:rPr>
                <w:rFonts w:ascii="Arial" w:eastAsia="Calibri" w:hAnsi="Arial" w:cs="Arial"/>
                <w:color w:val="000000" w:themeColor="text1"/>
              </w:rPr>
              <w:t xml:space="preserve"> Afternoon Snack (Olives, Matzo, dates, and grape juice) </w:t>
            </w:r>
            <w:r>
              <w:rPr>
                <w:rFonts w:ascii="Arial" w:eastAsia="Calibri" w:hAnsi="Arial" w:cs="Arial"/>
                <w:color w:val="000000" w:themeColor="text1"/>
              </w:rPr>
              <w:t>while e</w:t>
            </w:r>
            <w:r w:rsidR="0060347E" w:rsidRPr="0060347E">
              <w:rPr>
                <w:rFonts w:ascii="Arial" w:eastAsia="Calibri" w:hAnsi="Arial" w:cs="Arial"/>
                <w:color w:val="000000" w:themeColor="text1"/>
              </w:rPr>
              <w:t>xplain</w:t>
            </w:r>
            <w:r>
              <w:rPr>
                <w:rFonts w:ascii="Arial" w:eastAsia="Calibri" w:hAnsi="Arial" w:cs="Arial"/>
                <w:color w:val="000000" w:themeColor="text1"/>
              </w:rPr>
              <w:t>ing</w:t>
            </w:r>
            <w:r w:rsidR="0060347E" w:rsidRPr="0060347E">
              <w:rPr>
                <w:rFonts w:ascii="Arial" w:eastAsia="Calibri" w:hAnsi="Arial" w:cs="Arial"/>
                <w:color w:val="000000" w:themeColor="text1"/>
              </w:rPr>
              <w:t xml:space="preserve"> to the children that these are a few of the types of foods that Jesus and his disciples may have had at their Passover meal. </w:t>
            </w:r>
          </w:p>
        </w:tc>
        <w:tc>
          <w:tcPr>
            <w:tcW w:w="4797" w:type="dxa"/>
          </w:tcPr>
          <w:p w14:paraId="3FF75C2A" w14:textId="4282DC56" w:rsidR="00BA6CDA" w:rsidRDefault="00517C4B">
            <w:pPr>
              <w:rPr>
                <w:rFonts w:ascii="Arial" w:hAnsi="Arial" w:cs="Arial"/>
              </w:rPr>
            </w:pPr>
            <w:r w:rsidRPr="00BB4AAD">
              <w:rPr>
                <w:rFonts w:ascii="Arial" w:hAnsi="Arial" w:cs="Arial"/>
              </w:rPr>
              <w:t xml:space="preserve">Do have a </w:t>
            </w:r>
            <w:r w:rsidR="00BB4AAD" w:rsidRPr="00BB4AAD">
              <w:rPr>
                <w:rFonts w:ascii="Arial" w:hAnsi="Arial" w:cs="Arial"/>
              </w:rPr>
              <w:t>Passover meal or Easter dinner in your home?</w:t>
            </w:r>
            <w:r w:rsidR="003D7D3F">
              <w:rPr>
                <w:rFonts w:ascii="Arial" w:hAnsi="Arial" w:cs="Arial"/>
              </w:rPr>
              <w:t xml:space="preserve"> Discuss with your child the type</w:t>
            </w:r>
            <w:r w:rsidR="00740D79">
              <w:rPr>
                <w:rFonts w:ascii="Arial" w:hAnsi="Arial" w:cs="Arial"/>
              </w:rPr>
              <w:t>s</w:t>
            </w:r>
            <w:r w:rsidR="003D7D3F">
              <w:rPr>
                <w:rFonts w:ascii="Arial" w:hAnsi="Arial" w:cs="Arial"/>
              </w:rPr>
              <w:t xml:space="preserve"> of foods you serve, </w:t>
            </w:r>
            <w:r w:rsidR="00740D79">
              <w:rPr>
                <w:rFonts w:ascii="Arial" w:hAnsi="Arial" w:cs="Arial"/>
              </w:rPr>
              <w:t>is there a</w:t>
            </w:r>
            <w:r w:rsidR="00F36774">
              <w:rPr>
                <w:rFonts w:ascii="Arial" w:hAnsi="Arial" w:cs="Arial"/>
              </w:rPr>
              <w:t xml:space="preserve"> special</w:t>
            </w:r>
            <w:r w:rsidR="00740D79">
              <w:rPr>
                <w:rFonts w:ascii="Arial" w:hAnsi="Arial" w:cs="Arial"/>
              </w:rPr>
              <w:t xml:space="preserve"> reason why you serve those foods?</w:t>
            </w:r>
          </w:p>
          <w:p w14:paraId="5A3CEED4" w14:textId="1B7E7BAA" w:rsidR="00740D79" w:rsidRPr="00BB4AAD" w:rsidRDefault="00740D79" w:rsidP="00740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E5AF45C" wp14:editId="088CA222">
                  <wp:extent cx="1286038" cy="1062152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215" cy="107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CDA" w14:paraId="63C5F442" w14:textId="77777777" w:rsidTr="00BA6CDA">
        <w:tc>
          <w:tcPr>
            <w:tcW w:w="4796" w:type="dxa"/>
          </w:tcPr>
          <w:p w14:paraId="03ED1692" w14:textId="77777777" w:rsidR="0041202B" w:rsidRPr="0041202B" w:rsidRDefault="0041202B" w:rsidP="0041202B">
            <w:pPr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41202B">
              <w:rPr>
                <w:rFonts w:ascii="Arial" w:eastAsia="Times New Roman" w:hAnsi="Arial" w:cs="Arial"/>
                <w:b/>
                <w:bCs/>
                <w:color w:val="FF0000"/>
              </w:rPr>
              <w:t>VIII. Creative Expression Through the Arts</w:t>
            </w:r>
          </w:p>
          <w:p w14:paraId="39879C2E" w14:textId="77777777" w:rsidR="0041202B" w:rsidRPr="0041202B" w:rsidRDefault="0041202B" w:rsidP="0041202B">
            <w:pPr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41202B">
              <w:rPr>
                <w:rFonts w:ascii="Arial" w:eastAsia="Times New Roman" w:hAnsi="Arial" w:cs="Arial"/>
                <w:b/>
                <w:bCs/>
                <w:color w:val="FF0000"/>
              </w:rPr>
              <w:t>A. SENSORY ART EXPERIENCE</w:t>
            </w:r>
          </w:p>
          <w:p w14:paraId="227F72F2" w14:textId="2868431E" w:rsidR="0041202B" w:rsidRPr="0041202B" w:rsidRDefault="0041202B" w:rsidP="0041202B">
            <w:pPr>
              <w:rPr>
                <w:rFonts w:ascii="Arial" w:eastAsia="Times New Roman" w:hAnsi="Arial" w:cs="Arial"/>
                <w:color w:val="FF0000"/>
              </w:rPr>
            </w:pPr>
            <w:r w:rsidRPr="0041202B">
              <w:rPr>
                <w:rFonts w:ascii="Arial" w:eastAsia="Times New Roman" w:hAnsi="Arial" w:cs="Arial"/>
                <w:color w:val="FF0000"/>
              </w:rPr>
              <w:t>1. Uses imagination and creativity to express self with intention using a variety of open-ended, process-</w:t>
            </w:r>
            <w:r w:rsidR="00747A53" w:rsidRPr="0041202B">
              <w:rPr>
                <w:rFonts w:ascii="Arial" w:eastAsia="Times New Roman" w:hAnsi="Arial" w:cs="Arial"/>
                <w:color w:val="FF0000"/>
              </w:rPr>
              <w:t>oriented,</w:t>
            </w:r>
            <w:r w:rsidRPr="0041202B">
              <w:rPr>
                <w:rFonts w:ascii="Arial" w:eastAsia="Times New Roman" w:hAnsi="Arial" w:cs="Arial"/>
                <w:color w:val="FF0000"/>
              </w:rPr>
              <w:t xml:space="preserve"> and diverse art materials</w:t>
            </w:r>
          </w:p>
          <w:p w14:paraId="015867C0" w14:textId="77777777" w:rsidR="00BA6CDA" w:rsidRDefault="00BA6CDA"/>
        </w:tc>
        <w:tc>
          <w:tcPr>
            <w:tcW w:w="4797" w:type="dxa"/>
          </w:tcPr>
          <w:p w14:paraId="090D588E" w14:textId="77777777" w:rsidR="00BA6CDA" w:rsidRDefault="00D42846">
            <w:pPr>
              <w:rPr>
                <w:rFonts w:ascii="Arial" w:eastAsia="Calibri" w:hAnsi="Arial" w:cs="Arial"/>
                <w:color w:val="000000" w:themeColor="text1"/>
              </w:rPr>
            </w:pPr>
            <w:r w:rsidRPr="003A6A21">
              <w:rPr>
                <w:rFonts w:ascii="Arial" w:eastAsia="Calibri" w:hAnsi="Arial" w:cs="Arial"/>
                <w:color w:val="000000" w:themeColor="text1"/>
              </w:rPr>
              <w:t xml:space="preserve">Cross Art- On </w:t>
            </w:r>
            <w:r w:rsidR="00C51C60">
              <w:rPr>
                <w:rFonts w:ascii="Arial" w:eastAsia="Calibri" w:hAnsi="Arial" w:cs="Arial"/>
                <w:color w:val="000000" w:themeColor="text1"/>
              </w:rPr>
              <w:t xml:space="preserve">a </w:t>
            </w:r>
            <w:r w:rsidRPr="003A6A21">
              <w:rPr>
                <w:rFonts w:ascii="Arial" w:eastAsia="Calibri" w:hAnsi="Arial" w:cs="Arial"/>
                <w:color w:val="000000" w:themeColor="text1"/>
              </w:rPr>
              <w:t>big paper</w:t>
            </w:r>
            <w:r w:rsidR="007257E3">
              <w:rPr>
                <w:rFonts w:ascii="Arial" w:eastAsia="Calibri" w:hAnsi="Arial" w:cs="Arial"/>
                <w:color w:val="000000" w:themeColor="text1"/>
              </w:rPr>
              <w:t>,</w:t>
            </w:r>
            <w:r w:rsidRPr="003A6A21">
              <w:rPr>
                <w:rFonts w:ascii="Arial" w:eastAsia="Calibri" w:hAnsi="Arial" w:cs="Arial"/>
                <w:color w:val="000000" w:themeColor="text1"/>
              </w:rPr>
              <w:t xml:space="preserve"> each child</w:t>
            </w:r>
            <w:r w:rsidR="007257E3">
              <w:rPr>
                <w:rFonts w:ascii="Arial" w:eastAsia="Calibri" w:hAnsi="Arial" w:cs="Arial"/>
                <w:color w:val="000000" w:themeColor="text1"/>
              </w:rPr>
              <w:t xml:space="preserve"> will</w:t>
            </w:r>
            <w:r w:rsidRPr="003A6A21">
              <w:rPr>
                <w:rFonts w:ascii="Arial" w:eastAsia="Calibri" w:hAnsi="Arial" w:cs="Arial"/>
                <w:color w:val="000000" w:themeColor="text1"/>
              </w:rPr>
              <w:t xml:space="preserve"> place three crosses made of painter’s tape on the paper, one big in the middle and 2 smaller on each side. </w:t>
            </w:r>
            <w:r w:rsidR="007257E3">
              <w:rPr>
                <w:rFonts w:ascii="Arial" w:eastAsia="Calibri" w:hAnsi="Arial" w:cs="Arial"/>
                <w:color w:val="000000" w:themeColor="text1"/>
              </w:rPr>
              <w:t>T</w:t>
            </w:r>
            <w:r w:rsidRPr="003A6A21">
              <w:rPr>
                <w:rFonts w:ascii="Arial" w:eastAsia="Calibri" w:hAnsi="Arial" w:cs="Arial"/>
                <w:color w:val="000000" w:themeColor="text1"/>
              </w:rPr>
              <w:t xml:space="preserve">he children </w:t>
            </w:r>
            <w:r w:rsidR="007257E3">
              <w:rPr>
                <w:rFonts w:ascii="Arial" w:eastAsia="Calibri" w:hAnsi="Arial" w:cs="Arial"/>
                <w:color w:val="000000" w:themeColor="text1"/>
              </w:rPr>
              <w:t xml:space="preserve">will </w:t>
            </w:r>
            <w:r w:rsidRPr="003A6A21">
              <w:rPr>
                <w:rFonts w:ascii="Arial" w:eastAsia="Calibri" w:hAnsi="Arial" w:cs="Arial"/>
                <w:color w:val="000000" w:themeColor="text1"/>
              </w:rPr>
              <w:t>paint over the whole paper with multiple colors.</w:t>
            </w:r>
            <w:r w:rsidR="003A16E9">
              <w:rPr>
                <w:rFonts w:ascii="Arial" w:eastAsia="Calibri" w:hAnsi="Arial" w:cs="Arial"/>
                <w:color w:val="000000" w:themeColor="text1"/>
              </w:rPr>
              <w:t xml:space="preserve"> Then the</w:t>
            </w:r>
            <w:r w:rsidRPr="003A6A21">
              <w:rPr>
                <w:rFonts w:ascii="Arial" w:eastAsia="Calibri" w:hAnsi="Arial" w:cs="Arial"/>
                <w:color w:val="000000" w:themeColor="text1"/>
              </w:rPr>
              <w:t xml:space="preserve"> children </w:t>
            </w:r>
            <w:r w:rsidR="003A16E9">
              <w:rPr>
                <w:rFonts w:ascii="Arial" w:eastAsia="Calibri" w:hAnsi="Arial" w:cs="Arial"/>
                <w:color w:val="000000" w:themeColor="text1"/>
              </w:rPr>
              <w:t xml:space="preserve">will </w:t>
            </w:r>
            <w:r w:rsidRPr="003A6A21">
              <w:rPr>
                <w:rFonts w:ascii="Arial" w:eastAsia="Calibri" w:hAnsi="Arial" w:cs="Arial"/>
                <w:color w:val="000000" w:themeColor="text1"/>
              </w:rPr>
              <w:t>carefully peel the tape off to see their work of art</w:t>
            </w:r>
            <w:r w:rsidR="003A16E9">
              <w:rPr>
                <w:rFonts w:ascii="Arial" w:eastAsia="Calibri" w:hAnsi="Arial" w:cs="Arial"/>
                <w:color w:val="000000" w:themeColor="text1"/>
              </w:rPr>
              <w:t xml:space="preserve"> and to reveal the three crosses</w:t>
            </w:r>
            <w:r w:rsidR="00C51C60"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14:paraId="3790F469" w14:textId="7098B63A" w:rsidR="008D6119" w:rsidRPr="003A6A21" w:rsidRDefault="006102A4" w:rsidP="00610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D93BFFB" wp14:editId="2E08DE77">
                  <wp:extent cx="1828800" cy="1215025"/>
                  <wp:effectExtent l="0" t="0" r="0" b="4445"/>
                  <wp:docPr id="5" name="Picture 5" descr="A group of crosses on a hill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group of crosses on a hill&#10;&#10;Description automatically generated with low confidenc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21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4EFD3ACF" w14:textId="5322EC5F" w:rsidR="0090462D" w:rsidRPr="008D6119" w:rsidRDefault="0090462D" w:rsidP="0090462D">
            <w:pPr>
              <w:rPr>
                <w:rFonts w:ascii="Arial" w:hAnsi="Arial" w:cs="Arial"/>
              </w:rPr>
            </w:pPr>
            <w:r w:rsidRPr="008D6119">
              <w:rPr>
                <w:rFonts w:ascii="Arial" w:hAnsi="Arial" w:cs="Arial"/>
              </w:rPr>
              <w:t xml:space="preserve">Create your own crosses with the whole family out of various materials around the </w:t>
            </w:r>
            <w:proofErr w:type="gramStart"/>
            <w:r w:rsidRPr="008D6119">
              <w:rPr>
                <w:rFonts w:ascii="Arial" w:hAnsi="Arial" w:cs="Arial"/>
              </w:rPr>
              <w:t>home, and</w:t>
            </w:r>
            <w:proofErr w:type="gramEnd"/>
            <w:r w:rsidRPr="008D6119">
              <w:rPr>
                <w:rFonts w:ascii="Arial" w:hAnsi="Arial" w:cs="Arial"/>
              </w:rPr>
              <w:t xml:space="preserve"> decorate your home with them for this weekends Easter celebration </w:t>
            </w:r>
            <w:r w:rsidR="00D2602B" w:rsidRPr="008D6119">
              <w:rPr>
                <w:rFonts w:ascii="Arial" w:hAnsi="Arial" w:cs="Arial"/>
              </w:rPr>
              <w:t xml:space="preserve">and remind your child and family that Easter is a time to remember that Jesus died on the Cross </w:t>
            </w:r>
            <w:r w:rsidR="008D6119" w:rsidRPr="008D6119">
              <w:rPr>
                <w:rFonts w:ascii="Arial" w:hAnsi="Arial" w:cs="Arial"/>
              </w:rPr>
              <w:t>for our sins.</w:t>
            </w:r>
          </w:p>
        </w:tc>
      </w:tr>
      <w:tr w:rsidR="00BA6CDA" w14:paraId="6C2D4ABA" w14:textId="77777777" w:rsidTr="00BA6CDA">
        <w:tc>
          <w:tcPr>
            <w:tcW w:w="4796" w:type="dxa"/>
          </w:tcPr>
          <w:p w14:paraId="0CFE2484" w14:textId="77777777" w:rsidR="00526076" w:rsidRPr="00526076" w:rsidRDefault="00526076" w:rsidP="00526076">
            <w:pPr>
              <w:rPr>
                <w:rFonts w:ascii="Arial" w:eastAsia="Times New Roman" w:hAnsi="Arial" w:cs="Arial"/>
                <w:color w:val="FF0000"/>
              </w:rPr>
            </w:pPr>
            <w:r w:rsidRPr="00526076">
              <w:rPr>
                <w:rFonts w:ascii="Arial" w:eastAsia="Times New Roman" w:hAnsi="Arial" w:cs="Arial"/>
                <w:b/>
                <w:bCs/>
                <w:color w:val="FF0000"/>
              </w:rPr>
              <w:t>VI. Scientific Inquiry</w:t>
            </w:r>
          </w:p>
          <w:p w14:paraId="20BC5B62" w14:textId="75241DBF" w:rsidR="00526076" w:rsidRPr="00526076" w:rsidRDefault="00526076" w:rsidP="005B7010">
            <w:pPr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526076">
              <w:rPr>
                <w:rFonts w:ascii="Arial" w:eastAsia="Times New Roman" w:hAnsi="Arial" w:cs="Arial"/>
                <w:b/>
                <w:bCs/>
                <w:color w:val="FF0000"/>
              </w:rPr>
              <w:t>A. SCIENTIFIC INQUIRY THROUGH EXPLORATION AND DISCOVERY</w:t>
            </w:r>
            <w:r w:rsidRPr="005B7010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  <w:r w:rsidRPr="00526076">
              <w:rPr>
                <w:rFonts w:ascii="Arial" w:eastAsia="Times New Roman" w:hAnsi="Arial" w:cs="Arial"/>
                <w:color w:val="FF0000"/>
              </w:rPr>
              <w:t>3. Uses understanding of causal relationships to act on social and physical environments</w:t>
            </w:r>
            <w:r w:rsidR="005B7010" w:rsidRPr="005B7010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Pr="00526076">
              <w:rPr>
                <w:rFonts w:ascii="Arial" w:eastAsia="Times New Roman" w:hAnsi="Arial" w:cs="Arial"/>
                <w:color w:val="FF0000"/>
              </w:rPr>
              <w:t>Benchmark a.</w:t>
            </w:r>
            <w:r w:rsidR="005B7010" w:rsidRPr="005B7010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Pr="00526076">
              <w:rPr>
                <w:rFonts w:ascii="Arial" w:eastAsia="Times New Roman" w:hAnsi="Arial" w:cs="Arial"/>
                <w:color w:val="FF0000"/>
              </w:rPr>
              <w:t>Makes simple predictions and reflects on what caused something to happen</w:t>
            </w:r>
            <w:r w:rsidR="005B7010" w:rsidRPr="005B7010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Pr="00526076">
              <w:rPr>
                <w:rFonts w:ascii="Arial" w:eastAsia="Times New Roman" w:hAnsi="Arial" w:cs="Arial"/>
                <w:color w:val="FF0000"/>
              </w:rPr>
              <w:t>Benchmark b.</w:t>
            </w:r>
            <w:r w:rsidR="005B7010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Pr="00526076">
              <w:rPr>
                <w:rFonts w:ascii="Arial" w:eastAsia="Times New Roman" w:hAnsi="Arial" w:cs="Arial"/>
                <w:color w:val="FF0000"/>
              </w:rPr>
              <w:t>Participates in and discusses simple experiments</w:t>
            </w:r>
          </w:p>
          <w:p w14:paraId="3C3878BF" w14:textId="77777777" w:rsidR="00BA6CDA" w:rsidRPr="005B7010" w:rsidRDefault="00BA6CD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797" w:type="dxa"/>
          </w:tcPr>
          <w:p w14:paraId="364DF75F" w14:textId="77777777" w:rsidR="00BA6CDA" w:rsidRDefault="005A0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going to recreate our own lightening</w:t>
            </w:r>
            <w:r w:rsidR="009B6384">
              <w:rPr>
                <w:rFonts w:ascii="Arial" w:hAnsi="Arial" w:cs="Arial"/>
              </w:rPr>
              <w:t>, like</w:t>
            </w:r>
            <w:r w:rsidR="008C1339">
              <w:rPr>
                <w:rFonts w:ascii="Arial" w:hAnsi="Arial" w:cs="Arial"/>
              </w:rPr>
              <w:t xml:space="preserve"> when the Angel appeared </w:t>
            </w:r>
            <w:r w:rsidR="00691ABC">
              <w:rPr>
                <w:rFonts w:ascii="Arial" w:hAnsi="Arial" w:cs="Arial"/>
              </w:rPr>
              <w:t xml:space="preserve">over Jesus’ tomb to roll away the stone. </w:t>
            </w:r>
            <w:r w:rsidR="00B73E8A">
              <w:rPr>
                <w:rFonts w:ascii="Arial" w:hAnsi="Arial" w:cs="Arial"/>
              </w:rPr>
              <w:t xml:space="preserve">We will be rubbing blown up balloons on our heads and then touching them with metal </w:t>
            </w:r>
            <w:r w:rsidR="001D1CC6">
              <w:rPr>
                <w:rFonts w:ascii="Arial" w:hAnsi="Arial" w:cs="Arial"/>
              </w:rPr>
              <w:t xml:space="preserve">spoons to create ‘lightening’. </w:t>
            </w:r>
          </w:p>
          <w:p w14:paraId="5D7CF906" w14:textId="511F449A" w:rsidR="00F159A0" w:rsidRPr="007F1117" w:rsidRDefault="00067AAB" w:rsidP="00F159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7" w:type="dxa"/>
          </w:tcPr>
          <w:p w14:paraId="51AD3098" w14:textId="77777777" w:rsidR="00BA6CDA" w:rsidRDefault="007076C5">
            <w:pPr>
              <w:rPr>
                <w:rFonts w:ascii="Arial" w:hAnsi="Arial" w:cs="Arial"/>
              </w:rPr>
            </w:pPr>
            <w:r w:rsidRPr="00B3065B">
              <w:rPr>
                <w:rFonts w:ascii="Arial" w:hAnsi="Arial" w:cs="Arial"/>
              </w:rPr>
              <w:t xml:space="preserve">The next time you see lightening, point it out to your child </w:t>
            </w:r>
            <w:r w:rsidR="002D2B65">
              <w:rPr>
                <w:rFonts w:ascii="Arial" w:hAnsi="Arial" w:cs="Arial"/>
              </w:rPr>
              <w:t xml:space="preserve">and discuss with them </w:t>
            </w:r>
            <w:r w:rsidRPr="00B3065B">
              <w:rPr>
                <w:rFonts w:ascii="Arial" w:hAnsi="Arial" w:cs="Arial"/>
              </w:rPr>
              <w:t xml:space="preserve">that it is a </w:t>
            </w:r>
            <w:r w:rsidR="002D2B65">
              <w:rPr>
                <w:rFonts w:ascii="Arial" w:hAnsi="Arial" w:cs="Arial"/>
              </w:rPr>
              <w:t xml:space="preserve">regular </w:t>
            </w:r>
            <w:r w:rsidRPr="00B3065B">
              <w:rPr>
                <w:rFonts w:ascii="Arial" w:hAnsi="Arial" w:cs="Arial"/>
              </w:rPr>
              <w:t xml:space="preserve">reminder </w:t>
            </w:r>
            <w:r w:rsidR="002D2B65">
              <w:rPr>
                <w:rFonts w:ascii="Arial" w:hAnsi="Arial" w:cs="Arial"/>
              </w:rPr>
              <w:t xml:space="preserve">for us </w:t>
            </w:r>
            <w:r w:rsidRPr="00B3065B">
              <w:rPr>
                <w:rFonts w:ascii="Arial" w:hAnsi="Arial" w:cs="Arial"/>
              </w:rPr>
              <w:t xml:space="preserve">that </w:t>
            </w:r>
            <w:r w:rsidR="00B3065B" w:rsidRPr="00B3065B">
              <w:rPr>
                <w:rFonts w:ascii="Arial" w:hAnsi="Arial" w:cs="Arial"/>
              </w:rPr>
              <w:t>“He Is Alive”</w:t>
            </w:r>
          </w:p>
          <w:p w14:paraId="1E6A3984" w14:textId="4E348CE5" w:rsidR="00877A00" w:rsidRPr="00B3065B" w:rsidRDefault="00877A00" w:rsidP="0087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10E05E8" wp14:editId="650EC998">
                  <wp:extent cx="1554480" cy="1504336"/>
                  <wp:effectExtent l="0" t="0" r="7620" b="635"/>
                  <wp:docPr id="4" name="Picture 4" descr="A picture containing text, fabr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fabric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50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0BD21D" w14:textId="77777777" w:rsidR="002F3878" w:rsidRDefault="002F3878"/>
    <w:sectPr w:rsidR="002F3878" w:rsidSect="002E5BF8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EA72" w14:textId="77777777" w:rsidR="009679FD" w:rsidRDefault="009679FD" w:rsidP="002E5BF8">
      <w:pPr>
        <w:spacing w:after="0" w:line="240" w:lineRule="auto"/>
      </w:pPr>
      <w:r>
        <w:separator/>
      </w:r>
    </w:p>
  </w:endnote>
  <w:endnote w:type="continuationSeparator" w:id="0">
    <w:p w14:paraId="15E998AB" w14:textId="77777777" w:rsidR="009679FD" w:rsidRDefault="009679FD" w:rsidP="002E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1FD6" w14:textId="77777777" w:rsidR="009679FD" w:rsidRDefault="009679FD" w:rsidP="002E5BF8">
      <w:pPr>
        <w:spacing w:after="0" w:line="240" w:lineRule="auto"/>
      </w:pPr>
      <w:r>
        <w:separator/>
      </w:r>
    </w:p>
  </w:footnote>
  <w:footnote w:type="continuationSeparator" w:id="0">
    <w:p w14:paraId="3EB7F187" w14:textId="77777777" w:rsidR="009679FD" w:rsidRDefault="009679FD" w:rsidP="002E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C3B7" w14:textId="09744422" w:rsidR="002E5BF8" w:rsidRDefault="002E5BF8">
    <w:pPr>
      <w:pStyle w:val="Header"/>
    </w:pPr>
    <w:r>
      <w:t xml:space="preserve">Preschool II, Erica </w:t>
    </w:r>
    <w:r w:rsidR="00526F26">
      <w:t>Reynolds</w:t>
    </w:r>
    <w:r>
      <w:ptab w:relativeTo="margin" w:alignment="center" w:leader="none"/>
    </w:r>
    <w:r w:rsidR="00526F26">
      <w:t>Easter Unit</w:t>
    </w:r>
    <w:r>
      <w:ptab w:relativeTo="margin" w:alignment="right" w:leader="none"/>
    </w:r>
    <w:r w:rsidR="00BA6CDA">
      <w:t>April 11,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87"/>
    <w:rsid w:val="00006AB0"/>
    <w:rsid w:val="00056EBE"/>
    <w:rsid w:val="00067AAB"/>
    <w:rsid w:val="001B4956"/>
    <w:rsid w:val="001D1CC6"/>
    <w:rsid w:val="002D2B65"/>
    <w:rsid w:val="002E5BF8"/>
    <w:rsid w:val="002F3878"/>
    <w:rsid w:val="003A16E9"/>
    <w:rsid w:val="003A6A21"/>
    <w:rsid w:val="003D7D3F"/>
    <w:rsid w:val="0041202B"/>
    <w:rsid w:val="004B5D87"/>
    <w:rsid w:val="004C108B"/>
    <w:rsid w:val="00517C4B"/>
    <w:rsid w:val="00526076"/>
    <w:rsid w:val="00526F26"/>
    <w:rsid w:val="005A08F7"/>
    <w:rsid w:val="005B7010"/>
    <w:rsid w:val="0060347E"/>
    <w:rsid w:val="006102A4"/>
    <w:rsid w:val="00691ABC"/>
    <w:rsid w:val="007076C5"/>
    <w:rsid w:val="007257E3"/>
    <w:rsid w:val="00740D79"/>
    <w:rsid w:val="00747A53"/>
    <w:rsid w:val="007F1117"/>
    <w:rsid w:val="00877A00"/>
    <w:rsid w:val="008C1339"/>
    <w:rsid w:val="008D6119"/>
    <w:rsid w:val="0090462D"/>
    <w:rsid w:val="009679FD"/>
    <w:rsid w:val="009B6384"/>
    <w:rsid w:val="00B3065B"/>
    <w:rsid w:val="00B73E8A"/>
    <w:rsid w:val="00BA6CDA"/>
    <w:rsid w:val="00BB4AAD"/>
    <w:rsid w:val="00C51C60"/>
    <w:rsid w:val="00D2602B"/>
    <w:rsid w:val="00D41AD0"/>
    <w:rsid w:val="00D42846"/>
    <w:rsid w:val="00F159A0"/>
    <w:rsid w:val="00F2513B"/>
    <w:rsid w:val="00F3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FAB56"/>
  <w15:chartTrackingRefBased/>
  <w15:docId w15:val="{DFF42B35-68D1-4D5C-B9C6-F2DB2604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BF8"/>
  </w:style>
  <w:style w:type="paragraph" w:styleId="Footer">
    <w:name w:val="footer"/>
    <w:basedOn w:val="Normal"/>
    <w:link w:val="FooterChar"/>
    <w:uiPriority w:val="99"/>
    <w:unhideWhenUsed/>
    <w:rsid w:val="002E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BF8"/>
  </w:style>
  <w:style w:type="table" w:styleId="TableGrid">
    <w:name w:val="Table Grid"/>
    <w:basedOn w:val="TableNormal"/>
    <w:uiPriority w:val="39"/>
    <w:rsid w:val="00BA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0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famvin.org/en/2011/11/23/thanksgiving-resources-for-catholic-educator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reynolds</dc:creator>
  <cp:keywords/>
  <dc:description/>
  <cp:lastModifiedBy>erica reynolds</cp:lastModifiedBy>
  <cp:revision>42</cp:revision>
  <dcterms:created xsi:type="dcterms:W3CDTF">2022-03-07T11:48:00Z</dcterms:created>
  <dcterms:modified xsi:type="dcterms:W3CDTF">2022-03-07T18:11:00Z</dcterms:modified>
</cp:coreProperties>
</file>