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797"/>
        <w:gridCol w:w="4797"/>
      </w:tblGrid>
      <w:tr w:rsidR="007C3B42" w14:paraId="4E58FD1B" w14:textId="77777777" w:rsidTr="00C3750A">
        <w:tc>
          <w:tcPr>
            <w:tcW w:w="4796" w:type="dxa"/>
          </w:tcPr>
          <w:p w14:paraId="6DE5CDEF" w14:textId="53D54E92" w:rsidR="00C3750A" w:rsidRPr="00C3750A" w:rsidRDefault="00C3750A" w:rsidP="00C3750A">
            <w:pPr>
              <w:jc w:val="center"/>
              <w:rPr>
                <w:b/>
                <w:bCs/>
                <w:sz w:val="28"/>
                <w:szCs w:val="28"/>
              </w:rPr>
            </w:pPr>
            <w:r w:rsidRPr="00C3750A">
              <w:rPr>
                <w:b/>
                <w:bCs/>
                <w:color w:val="00B050"/>
                <w:sz w:val="28"/>
                <w:szCs w:val="28"/>
              </w:rPr>
              <w:t>STANDARDS</w:t>
            </w:r>
          </w:p>
        </w:tc>
        <w:tc>
          <w:tcPr>
            <w:tcW w:w="4797" w:type="dxa"/>
          </w:tcPr>
          <w:p w14:paraId="241A3B0B" w14:textId="62012881" w:rsidR="00C3750A" w:rsidRPr="00C3750A" w:rsidRDefault="00C3750A" w:rsidP="00C3750A">
            <w:pPr>
              <w:jc w:val="center"/>
              <w:rPr>
                <w:b/>
                <w:bCs/>
                <w:color w:val="00B050"/>
                <w:sz w:val="28"/>
                <w:szCs w:val="28"/>
              </w:rPr>
            </w:pPr>
            <w:r>
              <w:rPr>
                <w:b/>
                <w:bCs/>
                <w:color w:val="00B050"/>
                <w:sz w:val="28"/>
                <w:szCs w:val="28"/>
              </w:rPr>
              <w:t>ACTIVITY</w:t>
            </w:r>
          </w:p>
        </w:tc>
        <w:tc>
          <w:tcPr>
            <w:tcW w:w="4797" w:type="dxa"/>
          </w:tcPr>
          <w:p w14:paraId="1D57DA28" w14:textId="69D80A99" w:rsidR="00C3750A" w:rsidRPr="00C3750A" w:rsidRDefault="00C3750A" w:rsidP="00C3750A">
            <w:pPr>
              <w:jc w:val="center"/>
              <w:rPr>
                <w:b/>
                <w:bCs/>
                <w:color w:val="00B050"/>
                <w:sz w:val="28"/>
                <w:szCs w:val="28"/>
              </w:rPr>
            </w:pPr>
            <w:r>
              <w:rPr>
                <w:b/>
                <w:bCs/>
                <w:color w:val="00B050"/>
                <w:sz w:val="28"/>
                <w:szCs w:val="28"/>
              </w:rPr>
              <w:t>HOME EXTENSION</w:t>
            </w:r>
          </w:p>
        </w:tc>
      </w:tr>
      <w:tr w:rsidR="007C3B42" w14:paraId="385D1705" w14:textId="77777777" w:rsidTr="00C3750A">
        <w:tc>
          <w:tcPr>
            <w:tcW w:w="4796" w:type="dxa"/>
          </w:tcPr>
          <w:p w14:paraId="46F2E713" w14:textId="2DDE403D" w:rsidR="00F21C38" w:rsidRDefault="008C175F" w:rsidP="00F21C38">
            <w:r w:rsidRPr="00AA497E">
              <w:rPr>
                <w:rFonts w:ascii="Arial" w:eastAsia="Times New Roman" w:hAnsi="Arial" w:cs="Arial"/>
                <w:b/>
                <w:bCs/>
                <w:color w:val="FF0000"/>
                <w:sz w:val="20"/>
                <w:szCs w:val="20"/>
              </w:rPr>
              <w:t>VI. Scientific Inquiry</w:t>
            </w:r>
            <w:r>
              <w:rPr>
                <w:rFonts w:ascii="Arial" w:eastAsia="Times New Roman" w:hAnsi="Arial" w:cs="Arial"/>
                <w:b/>
                <w:bCs/>
                <w:color w:val="FF0000"/>
                <w:sz w:val="20"/>
                <w:szCs w:val="20"/>
              </w:rPr>
              <w:t xml:space="preserve"> </w:t>
            </w:r>
            <w:r w:rsidRPr="00AA497E">
              <w:rPr>
                <w:rFonts w:ascii="Arial" w:eastAsia="Times New Roman" w:hAnsi="Arial" w:cs="Arial"/>
                <w:b/>
                <w:bCs/>
                <w:color w:val="FF0000"/>
                <w:sz w:val="20"/>
                <w:szCs w:val="20"/>
              </w:rPr>
              <w:t xml:space="preserve">A. SCIENTIFIC INQUIRY THROUGH EXPLORATION AND DISCOVERY </w:t>
            </w:r>
            <w:r w:rsidRPr="00AA497E">
              <w:rPr>
                <w:rFonts w:ascii="Arial" w:eastAsia="Times New Roman" w:hAnsi="Arial" w:cs="Arial"/>
                <w:color w:val="FF0000"/>
                <w:sz w:val="20"/>
                <w:szCs w:val="20"/>
              </w:rPr>
              <w:t>3. Uses understanding of causal relationships to act on social and physical environments</w:t>
            </w:r>
            <w:r>
              <w:rPr>
                <w:rFonts w:ascii="Arial" w:eastAsia="Times New Roman" w:hAnsi="Arial" w:cs="Arial"/>
                <w:color w:val="FF0000"/>
                <w:sz w:val="20"/>
                <w:szCs w:val="20"/>
              </w:rPr>
              <w:t xml:space="preserve"> </w:t>
            </w:r>
            <w:r w:rsidRPr="00AA497E">
              <w:rPr>
                <w:rFonts w:ascii="Arial" w:eastAsia="Times New Roman" w:hAnsi="Arial" w:cs="Arial"/>
                <w:color w:val="FF0000"/>
                <w:sz w:val="20"/>
                <w:szCs w:val="20"/>
              </w:rPr>
              <w:t>Benchmark a. Makes simple predictions and reflects on what caused something to happen Benchmark b.</w:t>
            </w:r>
            <w:r>
              <w:rPr>
                <w:rFonts w:ascii="Arial" w:eastAsia="Times New Roman" w:hAnsi="Arial" w:cs="Arial"/>
                <w:color w:val="FF0000"/>
                <w:sz w:val="20"/>
                <w:szCs w:val="20"/>
              </w:rPr>
              <w:t xml:space="preserve"> </w:t>
            </w:r>
            <w:r w:rsidRPr="00AA497E">
              <w:rPr>
                <w:rFonts w:ascii="Arial" w:eastAsia="Times New Roman" w:hAnsi="Arial" w:cs="Arial"/>
                <w:color w:val="FF0000"/>
                <w:sz w:val="20"/>
                <w:szCs w:val="20"/>
              </w:rPr>
              <w:t>Participates in and discusses simple experiments</w:t>
            </w:r>
          </w:p>
        </w:tc>
        <w:tc>
          <w:tcPr>
            <w:tcW w:w="4797" w:type="dxa"/>
          </w:tcPr>
          <w:p w14:paraId="6F979DD0" w14:textId="18AF92B9" w:rsidR="00F21C38" w:rsidRPr="0047242D" w:rsidRDefault="00057449" w:rsidP="00F21C38">
            <w:pPr>
              <w:spacing w:line="259" w:lineRule="auto"/>
              <w:rPr>
                <w:rFonts w:ascii="Calibri" w:eastAsia="Calibri" w:hAnsi="Calibri" w:cs="Calibri"/>
                <w:color w:val="000000" w:themeColor="text1"/>
              </w:rPr>
            </w:pPr>
            <w:r w:rsidRPr="0047242D">
              <w:rPr>
                <w:rFonts w:ascii="Calibri" w:eastAsia="Calibri" w:hAnsi="Calibri" w:cs="Calibri"/>
                <w:color w:val="000000" w:themeColor="text1"/>
              </w:rPr>
              <w:t xml:space="preserve">This week we will </w:t>
            </w:r>
            <w:r w:rsidR="00691688" w:rsidRPr="0047242D">
              <w:rPr>
                <w:rFonts w:ascii="Calibri" w:eastAsia="Calibri" w:hAnsi="Calibri" w:cs="Calibri"/>
                <w:color w:val="000000" w:themeColor="text1"/>
              </w:rPr>
              <w:t>start</w:t>
            </w:r>
            <w:r w:rsidRPr="0047242D">
              <w:rPr>
                <w:rFonts w:ascii="Calibri" w:eastAsia="Calibri" w:hAnsi="Calibri" w:cs="Calibri"/>
                <w:color w:val="000000" w:themeColor="text1"/>
              </w:rPr>
              <w:t xml:space="preserve"> talking</w:t>
            </w:r>
            <w:r w:rsidR="00691688" w:rsidRPr="0047242D">
              <w:rPr>
                <w:rFonts w:ascii="Calibri" w:eastAsia="Calibri" w:hAnsi="Calibri" w:cs="Calibri"/>
                <w:color w:val="000000" w:themeColor="text1"/>
              </w:rPr>
              <w:t xml:space="preserve"> about</w:t>
            </w:r>
            <w:r w:rsidRPr="0047242D">
              <w:rPr>
                <w:rFonts w:ascii="Calibri" w:eastAsia="Calibri" w:hAnsi="Calibri" w:cs="Calibri"/>
                <w:color w:val="000000" w:themeColor="text1"/>
              </w:rPr>
              <w:t xml:space="preserve"> Jesus</w:t>
            </w:r>
            <w:r w:rsidR="00077F3F" w:rsidRPr="0047242D">
              <w:rPr>
                <w:rFonts w:ascii="Calibri" w:eastAsia="Calibri" w:hAnsi="Calibri" w:cs="Calibri"/>
                <w:color w:val="000000" w:themeColor="text1"/>
              </w:rPr>
              <w:t>’ miracles, His first miracle</w:t>
            </w:r>
            <w:r w:rsidR="00DB6D8C" w:rsidRPr="0047242D">
              <w:rPr>
                <w:rFonts w:ascii="Calibri" w:eastAsia="Calibri" w:hAnsi="Calibri" w:cs="Calibri"/>
                <w:color w:val="000000" w:themeColor="text1"/>
              </w:rPr>
              <w:t xml:space="preserve"> is t</w:t>
            </w:r>
            <w:r w:rsidR="00F21C38" w:rsidRPr="0047242D">
              <w:rPr>
                <w:rFonts w:ascii="Calibri" w:eastAsia="Calibri" w:hAnsi="Calibri" w:cs="Calibri"/>
                <w:color w:val="000000" w:themeColor="text1"/>
              </w:rPr>
              <w:t>urning water into win</w:t>
            </w:r>
            <w:r w:rsidR="00DB6D8C" w:rsidRPr="0047242D">
              <w:rPr>
                <w:rFonts w:ascii="Calibri" w:eastAsia="Calibri" w:hAnsi="Calibri" w:cs="Calibri"/>
                <w:color w:val="000000" w:themeColor="text1"/>
              </w:rPr>
              <w:t xml:space="preserve">e. </w:t>
            </w:r>
            <w:r w:rsidR="00691688" w:rsidRPr="0047242D">
              <w:rPr>
                <w:rFonts w:ascii="Calibri" w:eastAsia="Calibri" w:hAnsi="Calibri" w:cs="Calibri"/>
                <w:color w:val="000000" w:themeColor="text1"/>
              </w:rPr>
              <w:t>We will be turning our own water into wine</w:t>
            </w:r>
            <w:r w:rsidR="00DA35DD" w:rsidRPr="0047242D">
              <w:rPr>
                <w:rFonts w:ascii="Calibri" w:eastAsia="Calibri" w:hAnsi="Calibri" w:cs="Calibri"/>
                <w:color w:val="000000" w:themeColor="text1"/>
              </w:rPr>
              <w:t xml:space="preserve"> by having</w:t>
            </w:r>
            <w:r w:rsidR="00F21C38" w:rsidRPr="0047242D">
              <w:rPr>
                <w:rFonts w:ascii="Calibri" w:eastAsia="Calibri" w:hAnsi="Calibri" w:cs="Calibri"/>
                <w:color w:val="000000" w:themeColor="text1"/>
              </w:rPr>
              <w:t xml:space="preserve"> a jar of water, with food coloring added to a piece of paper towel attached to the lid. </w:t>
            </w:r>
            <w:r w:rsidR="001E2486" w:rsidRPr="0047242D">
              <w:rPr>
                <w:rFonts w:ascii="Calibri" w:eastAsia="Calibri" w:hAnsi="Calibri" w:cs="Calibri"/>
                <w:color w:val="000000" w:themeColor="text1"/>
              </w:rPr>
              <w:t>The children will see ordinary water, but when we shake the jar</w:t>
            </w:r>
            <w:r w:rsidR="003C3C3C" w:rsidRPr="0047242D">
              <w:rPr>
                <w:rFonts w:ascii="Calibri" w:eastAsia="Calibri" w:hAnsi="Calibri" w:cs="Calibri"/>
                <w:color w:val="000000" w:themeColor="text1"/>
              </w:rPr>
              <w:t xml:space="preserve">, it will change color, looking like wine. </w:t>
            </w:r>
          </w:p>
        </w:tc>
        <w:tc>
          <w:tcPr>
            <w:tcW w:w="4797" w:type="dxa"/>
          </w:tcPr>
          <w:p w14:paraId="656278D4" w14:textId="77777777" w:rsidR="00F21C38" w:rsidRDefault="001F1C2F" w:rsidP="00F21C38">
            <w:r>
              <w:t>This week share a glass of grape juice with your child and discuss the things that have been miracles in your life.</w:t>
            </w:r>
          </w:p>
          <w:p w14:paraId="268E3391" w14:textId="30278ACA" w:rsidR="00F73CA7" w:rsidRDefault="00F73CA7" w:rsidP="00F73CA7">
            <w:pPr>
              <w:jc w:val="center"/>
            </w:pPr>
            <w:r>
              <w:rPr>
                <w:noProof/>
              </w:rPr>
              <w:drawing>
                <wp:inline distT="0" distB="0" distL="0" distR="0" wp14:anchorId="78043FB8" wp14:editId="68EF8342">
                  <wp:extent cx="914400" cy="13863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20165" cy="1395089"/>
                          </a:xfrm>
                          <a:prstGeom prst="rect">
                            <a:avLst/>
                          </a:prstGeom>
                        </pic:spPr>
                      </pic:pic>
                    </a:graphicData>
                  </a:graphic>
                </wp:inline>
              </w:drawing>
            </w:r>
          </w:p>
        </w:tc>
      </w:tr>
      <w:tr w:rsidR="007C3B42" w14:paraId="1F376753" w14:textId="77777777" w:rsidTr="00C3750A">
        <w:tc>
          <w:tcPr>
            <w:tcW w:w="4796" w:type="dxa"/>
          </w:tcPr>
          <w:p w14:paraId="6648F062" w14:textId="36DB6099" w:rsidR="00F21C38" w:rsidRPr="008C175F" w:rsidRDefault="006679DD" w:rsidP="00F21C38">
            <w:pPr>
              <w:rPr>
                <w:sz w:val="20"/>
                <w:szCs w:val="20"/>
              </w:rPr>
            </w:pPr>
            <w:r w:rsidRPr="008C175F">
              <w:rPr>
                <w:rFonts w:ascii="Arial" w:eastAsia="Times New Roman" w:hAnsi="Arial" w:cs="Arial"/>
                <w:b/>
                <w:bCs/>
                <w:color w:val="FF0000"/>
                <w:sz w:val="20"/>
                <w:szCs w:val="20"/>
              </w:rPr>
              <w:t xml:space="preserve">I. Physical Development B. MOTOR DEVELOPMENT </w:t>
            </w:r>
            <w:r w:rsidRPr="008C175F">
              <w:rPr>
                <w:rFonts w:ascii="Arial" w:eastAsia="Times New Roman" w:hAnsi="Arial" w:cs="Arial"/>
                <w:color w:val="FF0000"/>
                <w:sz w:val="20"/>
                <w:szCs w:val="20"/>
              </w:rPr>
              <w:t>b. Gross Motor Perception (Sensorimotor)1. Uses perceptual information to guide motions and interactions with objects and other people</w:t>
            </w:r>
            <w:r w:rsidRPr="008C175F">
              <w:rPr>
                <w:rFonts w:ascii="Arial" w:eastAsia="Times New Roman" w:hAnsi="Arial" w:cs="Arial"/>
                <w:b/>
                <w:bCs/>
                <w:color w:val="FF0000"/>
                <w:sz w:val="20"/>
                <w:szCs w:val="20"/>
              </w:rPr>
              <w:t xml:space="preserve"> </w:t>
            </w:r>
            <w:r w:rsidRPr="008C175F">
              <w:rPr>
                <w:rFonts w:ascii="Arial" w:eastAsia="Times New Roman" w:hAnsi="Arial" w:cs="Arial"/>
                <w:color w:val="FF0000"/>
                <w:sz w:val="20"/>
                <w:szCs w:val="20"/>
              </w:rPr>
              <w:t>Benchmark a.</w:t>
            </w:r>
            <w:r w:rsidRPr="008C175F">
              <w:rPr>
                <w:rFonts w:ascii="Arial" w:eastAsia="Times New Roman" w:hAnsi="Arial" w:cs="Arial"/>
                <w:b/>
                <w:bCs/>
                <w:color w:val="FF0000"/>
                <w:sz w:val="20"/>
                <w:szCs w:val="20"/>
              </w:rPr>
              <w:t xml:space="preserve"> </w:t>
            </w:r>
            <w:r w:rsidRPr="008C175F">
              <w:rPr>
                <w:rFonts w:ascii="Arial" w:eastAsia="Times New Roman" w:hAnsi="Arial" w:cs="Arial"/>
                <w:color w:val="FF0000"/>
                <w:sz w:val="20"/>
                <w:szCs w:val="20"/>
              </w:rPr>
              <w:t>Begins to act and move with purpose and recognizes differences in direction, distance and location</w:t>
            </w:r>
            <w:r w:rsidRPr="008C175F">
              <w:rPr>
                <w:rFonts w:ascii="Arial" w:eastAsia="Times New Roman" w:hAnsi="Arial" w:cs="Arial"/>
                <w:b/>
                <w:bCs/>
                <w:color w:val="FF0000"/>
                <w:sz w:val="20"/>
                <w:szCs w:val="20"/>
              </w:rPr>
              <w:t xml:space="preserve"> </w:t>
            </w:r>
            <w:r w:rsidRPr="008C175F">
              <w:rPr>
                <w:rFonts w:ascii="Arial" w:eastAsia="Times New Roman" w:hAnsi="Arial" w:cs="Arial"/>
                <w:color w:val="FF0000"/>
                <w:sz w:val="20"/>
                <w:szCs w:val="20"/>
              </w:rPr>
              <w:t>Benchmark b.</w:t>
            </w:r>
            <w:r w:rsidRPr="008C175F">
              <w:rPr>
                <w:rFonts w:ascii="Arial" w:eastAsia="Times New Roman" w:hAnsi="Arial" w:cs="Arial"/>
                <w:b/>
                <w:bCs/>
                <w:color w:val="FF0000"/>
                <w:sz w:val="20"/>
                <w:szCs w:val="20"/>
              </w:rPr>
              <w:t xml:space="preserve"> </w:t>
            </w:r>
            <w:r w:rsidRPr="008C175F">
              <w:rPr>
                <w:rFonts w:ascii="Arial" w:eastAsia="Times New Roman" w:hAnsi="Arial" w:cs="Arial"/>
                <w:color w:val="FF0000"/>
                <w:sz w:val="20"/>
                <w:szCs w:val="20"/>
              </w:rPr>
              <w:t>Demonstrates awareness of own body in relation to others</w:t>
            </w:r>
          </w:p>
        </w:tc>
        <w:tc>
          <w:tcPr>
            <w:tcW w:w="4797" w:type="dxa"/>
          </w:tcPr>
          <w:p w14:paraId="173ACA14" w14:textId="2D70B768" w:rsidR="00F21C38" w:rsidRPr="005537D4" w:rsidRDefault="00E13B06" w:rsidP="00F21C38">
            <w:r w:rsidRPr="005537D4">
              <w:rPr>
                <w:rFonts w:ascii="Calibri" w:eastAsia="Calibri" w:hAnsi="Calibri" w:cs="Calibri"/>
                <w:color w:val="000000" w:themeColor="text1"/>
              </w:rPr>
              <w:t>To celebrate Jesus turning wa</w:t>
            </w:r>
            <w:r w:rsidR="00447F1C" w:rsidRPr="005537D4">
              <w:rPr>
                <w:rFonts w:ascii="Calibri" w:eastAsia="Calibri" w:hAnsi="Calibri" w:cs="Calibri"/>
                <w:color w:val="000000" w:themeColor="text1"/>
              </w:rPr>
              <w:t>ter into wine the children will get to have a w</w:t>
            </w:r>
            <w:r w:rsidR="00F21C38" w:rsidRPr="005537D4">
              <w:rPr>
                <w:rFonts w:ascii="Calibri" w:eastAsia="Calibri" w:hAnsi="Calibri" w:cs="Calibri"/>
                <w:color w:val="000000" w:themeColor="text1"/>
              </w:rPr>
              <w:t>ater relay ra</w:t>
            </w:r>
            <w:r w:rsidR="001C1B3B" w:rsidRPr="005537D4">
              <w:rPr>
                <w:rFonts w:ascii="Calibri" w:eastAsia="Calibri" w:hAnsi="Calibri" w:cs="Calibri"/>
                <w:color w:val="000000" w:themeColor="text1"/>
              </w:rPr>
              <w:t>ce</w:t>
            </w:r>
            <w:r w:rsidR="00447F1C" w:rsidRPr="005537D4">
              <w:rPr>
                <w:rFonts w:ascii="Calibri" w:eastAsia="Calibri" w:hAnsi="Calibri" w:cs="Calibri"/>
                <w:color w:val="000000" w:themeColor="text1"/>
              </w:rPr>
              <w:t xml:space="preserve">. </w:t>
            </w:r>
            <w:r w:rsidR="00F21C38" w:rsidRPr="005537D4">
              <w:rPr>
                <w:rFonts w:ascii="Calibri" w:eastAsia="Calibri" w:hAnsi="Calibri" w:cs="Calibri"/>
                <w:color w:val="000000" w:themeColor="text1"/>
              </w:rPr>
              <w:t>Outside the children will be placed in 2-3 teams. One person from each team will fill their cup</w:t>
            </w:r>
            <w:r w:rsidR="005537D4" w:rsidRPr="005537D4">
              <w:rPr>
                <w:rFonts w:ascii="Calibri" w:eastAsia="Calibri" w:hAnsi="Calibri" w:cs="Calibri"/>
                <w:color w:val="000000" w:themeColor="text1"/>
              </w:rPr>
              <w:t>,</w:t>
            </w:r>
            <w:r w:rsidR="00F21C38" w:rsidRPr="005537D4">
              <w:rPr>
                <w:rFonts w:ascii="Calibri" w:eastAsia="Calibri" w:hAnsi="Calibri" w:cs="Calibri"/>
                <w:color w:val="000000" w:themeColor="text1"/>
              </w:rPr>
              <w:t xml:space="preserve"> run to the </w:t>
            </w:r>
            <w:r w:rsidR="005537D4" w:rsidRPr="005537D4">
              <w:rPr>
                <w:rFonts w:ascii="Calibri" w:eastAsia="Calibri" w:hAnsi="Calibri" w:cs="Calibri"/>
                <w:color w:val="000000" w:themeColor="text1"/>
              </w:rPr>
              <w:t>end,</w:t>
            </w:r>
            <w:r w:rsidR="00F21C38" w:rsidRPr="005537D4">
              <w:rPr>
                <w:rFonts w:ascii="Calibri" w:eastAsia="Calibri" w:hAnsi="Calibri" w:cs="Calibri"/>
                <w:color w:val="000000" w:themeColor="text1"/>
              </w:rPr>
              <w:t xml:space="preserve"> and dump it into a big bucket, run back to their team and pass on the cup to another teammate. The goal is to fill the bucket.</w:t>
            </w:r>
          </w:p>
        </w:tc>
        <w:tc>
          <w:tcPr>
            <w:tcW w:w="4797" w:type="dxa"/>
          </w:tcPr>
          <w:p w14:paraId="66CD7E11" w14:textId="77777777" w:rsidR="00F21C38" w:rsidRDefault="000B7061" w:rsidP="00F21C38">
            <w:r>
              <w:t xml:space="preserve">Hold your own water relay race </w:t>
            </w:r>
            <w:r w:rsidR="00080E56">
              <w:t xml:space="preserve">with the whole family. Maybe invite the neighborhood kids to join in too. </w:t>
            </w:r>
          </w:p>
          <w:p w14:paraId="45671903" w14:textId="498CAB5C" w:rsidR="007C3B42" w:rsidRDefault="007C3B42" w:rsidP="007C3B42">
            <w:pPr>
              <w:jc w:val="center"/>
            </w:pPr>
            <w:r>
              <w:rPr>
                <w:noProof/>
              </w:rPr>
              <w:drawing>
                <wp:inline distT="0" distB="0" distL="0" distR="0" wp14:anchorId="3496B872" wp14:editId="0D561D4F">
                  <wp:extent cx="1097280" cy="10972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97280" cy="1097280"/>
                          </a:xfrm>
                          <a:prstGeom prst="rect">
                            <a:avLst/>
                          </a:prstGeom>
                        </pic:spPr>
                      </pic:pic>
                    </a:graphicData>
                  </a:graphic>
                </wp:inline>
              </w:drawing>
            </w:r>
          </w:p>
        </w:tc>
      </w:tr>
      <w:tr w:rsidR="007C3B42" w14:paraId="46EE9692" w14:textId="77777777" w:rsidTr="00C3750A">
        <w:tc>
          <w:tcPr>
            <w:tcW w:w="4796" w:type="dxa"/>
          </w:tcPr>
          <w:p w14:paraId="2BE6E302" w14:textId="6DDD443D" w:rsidR="00892604" w:rsidRPr="008C175F" w:rsidRDefault="00892604" w:rsidP="00892604">
            <w:pPr>
              <w:pStyle w:val="NoSpacing"/>
              <w:rPr>
                <w:rFonts w:ascii="Arial" w:hAnsi="Arial" w:cs="Arial"/>
                <w:color w:val="FF0000"/>
                <w:sz w:val="20"/>
                <w:szCs w:val="20"/>
              </w:rPr>
            </w:pPr>
            <w:bookmarkStart w:id="0" w:name="_Hlk95221565"/>
            <w:r w:rsidRPr="008C175F">
              <w:rPr>
                <w:rFonts w:ascii="Arial" w:hAnsi="Arial" w:cs="Arial"/>
                <w:b/>
                <w:bCs/>
                <w:color w:val="FF0000"/>
                <w:sz w:val="20"/>
                <w:szCs w:val="20"/>
              </w:rPr>
              <w:t>VI. Scientific Inquiry</w:t>
            </w:r>
            <w:r w:rsidRPr="008C175F">
              <w:rPr>
                <w:rFonts w:ascii="Arial" w:hAnsi="Arial" w:cs="Arial"/>
                <w:color w:val="FF0000"/>
                <w:sz w:val="20"/>
                <w:szCs w:val="20"/>
              </w:rPr>
              <w:t xml:space="preserve"> </w:t>
            </w:r>
            <w:r w:rsidRPr="008C175F">
              <w:rPr>
                <w:rFonts w:ascii="Arial" w:hAnsi="Arial" w:cs="Arial"/>
                <w:b/>
                <w:bCs/>
                <w:color w:val="FF0000"/>
                <w:sz w:val="20"/>
                <w:szCs w:val="20"/>
              </w:rPr>
              <w:t>F. ENGINEERING AND TECHNOLOGY</w:t>
            </w:r>
            <w:r w:rsidRPr="008C175F">
              <w:rPr>
                <w:rFonts w:ascii="Arial" w:hAnsi="Arial" w:cs="Arial"/>
                <w:color w:val="FF0000"/>
                <w:sz w:val="20"/>
                <w:szCs w:val="20"/>
              </w:rPr>
              <w:t xml:space="preserve"> 1. Shows interest and understanding of how simple tools and machines assist with solving problems or creating objects and structures Benchmark b. Explores and identifies simple machines through play (e.g., ramps, gears, wheels, </w:t>
            </w:r>
            <w:r w:rsidR="0028579C" w:rsidRPr="008C175F">
              <w:rPr>
                <w:rFonts w:ascii="Arial" w:hAnsi="Arial" w:cs="Arial"/>
                <w:color w:val="FF0000"/>
                <w:sz w:val="20"/>
                <w:szCs w:val="20"/>
              </w:rPr>
              <w:t>pulleys,</w:t>
            </w:r>
            <w:r w:rsidRPr="008C175F">
              <w:rPr>
                <w:rFonts w:ascii="Arial" w:hAnsi="Arial" w:cs="Arial"/>
                <w:color w:val="FF0000"/>
                <w:sz w:val="20"/>
                <w:szCs w:val="20"/>
              </w:rPr>
              <w:t xml:space="preserve"> and levers)</w:t>
            </w:r>
            <w:bookmarkEnd w:id="0"/>
          </w:p>
          <w:p w14:paraId="2B83AFD3" w14:textId="77777777" w:rsidR="00F21C38" w:rsidRDefault="00F21C38" w:rsidP="00F21C38"/>
        </w:tc>
        <w:tc>
          <w:tcPr>
            <w:tcW w:w="4797" w:type="dxa"/>
          </w:tcPr>
          <w:p w14:paraId="75FCEEDE" w14:textId="1DDABA4D" w:rsidR="00F21C38" w:rsidRPr="00556AF7" w:rsidRDefault="00F21C38" w:rsidP="00F21C38">
            <w:r w:rsidRPr="00556AF7">
              <w:rPr>
                <w:rFonts w:ascii="Calibri" w:eastAsia="Calibri" w:hAnsi="Calibri" w:cs="Calibri"/>
                <w:color w:val="000000" w:themeColor="text1"/>
              </w:rPr>
              <w:t xml:space="preserve">While </w:t>
            </w:r>
            <w:r w:rsidR="002618CF" w:rsidRPr="00556AF7">
              <w:rPr>
                <w:rFonts w:ascii="Calibri" w:eastAsia="Calibri" w:hAnsi="Calibri" w:cs="Calibri"/>
                <w:color w:val="000000" w:themeColor="text1"/>
              </w:rPr>
              <w:t>discussing</w:t>
            </w:r>
            <w:r w:rsidRPr="00556AF7">
              <w:rPr>
                <w:rFonts w:ascii="Calibri" w:eastAsia="Calibri" w:hAnsi="Calibri" w:cs="Calibri"/>
                <w:color w:val="000000" w:themeColor="text1"/>
              </w:rPr>
              <w:t xml:space="preserve"> Jesus Healing the Paralytic man and how </w:t>
            </w:r>
            <w:r w:rsidR="00EA1D38" w:rsidRPr="00556AF7">
              <w:rPr>
                <w:rFonts w:ascii="Calibri" w:eastAsia="Calibri" w:hAnsi="Calibri" w:cs="Calibri"/>
                <w:color w:val="000000" w:themeColor="text1"/>
              </w:rPr>
              <w:t xml:space="preserve">the </w:t>
            </w:r>
            <w:r w:rsidR="00464E3C" w:rsidRPr="00556AF7">
              <w:rPr>
                <w:rFonts w:ascii="Calibri" w:eastAsia="Calibri" w:hAnsi="Calibri" w:cs="Calibri"/>
                <w:color w:val="000000" w:themeColor="text1"/>
              </w:rPr>
              <w:t>man’s</w:t>
            </w:r>
            <w:r w:rsidRPr="00556AF7">
              <w:rPr>
                <w:rFonts w:ascii="Calibri" w:eastAsia="Calibri" w:hAnsi="Calibri" w:cs="Calibri"/>
                <w:color w:val="000000" w:themeColor="text1"/>
              </w:rPr>
              <w:t xml:space="preserve"> friends could have used a pulley</w:t>
            </w:r>
            <w:r w:rsidR="00464E3C" w:rsidRPr="00556AF7">
              <w:rPr>
                <w:rFonts w:ascii="Calibri" w:eastAsia="Calibri" w:hAnsi="Calibri" w:cs="Calibri"/>
                <w:color w:val="000000" w:themeColor="text1"/>
              </w:rPr>
              <w:t xml:space="preserve"> to lower </w:t>
            </w:r>
            <w:r w:rsidR="003B0101" w:rsidRPr="00556AF7">
              <w:rPr>
                <w:rFonts w:ascii="Calibri" w:eastAsia="Calibri" w:hAnsi="Calibri" w:cs="Calibri"/>
                <w:color w:val="000000" w:themeColor="text1"/>
              </w:rPr>
              <w:t>him down to Jesus</w:t>
            </w:r>
            <w:r w:rsidRPr="00556AF7">
              <w:rPr>
                <w:rFonts w:ascii="Calibri" w:eastAsia="Calibri" w:hAnsi="Calibri" w:cs="Calibri"/>
                <w:color w:val="000000" w:themeColor="text1"/>
              </w:rPr>
              <w:t xml:space="preserve">, </w:t>
            </w:r>
            <w:r w:rsidR="003B0101" w:rsidRPr="00556AF7">
              <w:rPr>
                <w:rFonts w:ascii="Calibri" w:eastAsia="Calibri" w:hAnsi="Calibri" w:cs="Calibri"/>
                <w:color w:val="000000" w:themeColor="text1"/>
              </w:rPr>
              <w:t xml:space="preserve">we will </w:t>
            </w:r>
            <w:r w:rsidRPr="00556AF7">
              <w:rPr>
                <w:rFonts w:ascii="Calibri" w:eastAsia="Calibri" w:hAnsi="Calibri" w:cs="Calibri"/>
                <w:color w:val="000000" w:themeColor="text1"/>
              </w:rPr>
              <w:t>create a pulley out of 2 paper towel tubes with a straw as the crank and dowel and a spool of ribbon as the pulley and a ‘bed’ out of a cup for the paralytic man to be lowered down.</w:t>
            </w:r>
          </w:p>
        </w:tc>
        <w:tc>
          <w:tcPr>
            <w:tcW w:w="4797" w:type="dxa"/>
          </w:tcPr>
          <w:p w14:paraId="5732A586" w14:textId="77777777" w:rsidR="00F21C38" w:rsidRDefault="005E2093" w:rsidP="00F21C38">
            <w:r>
              <w:t xml:space="preserve">When out with your children this week </w:t>
            </w:r>
            <w:r w:rsidR="009E7C86">
              <w:t xml:space="preserve">point out different </w:t>
            </w:r>
            <w:r w:rsidR="004E572F">
              <w:t>objects</w:t>
            </w:r>
            <w:r w:rsidR="009E7C86">
              <w:t xml:space="preserve"> that use pulleys</w:t>
            </w:r>
            <w:r w:rsidR="004E572F">
              <w:t xml:space="preserve">, such as an elevator or a car. </w:t>
            </w:r>
          </w:p>
          <w:p w14:paraId="0364A3DA" w14:textId="78238BE2" w:rsidR="007C3B42" w:rsidRDefault="0066139B" w:rsidP="007C3B42">
            <w:pPr>
              <w:jc w:val="center"/>
            </w:pPr>
            <w:r>
              <w:rPr>
                <w:noProof/>
              </w:rPr>
              <w:drawing>
                <wp:inline distT="0" distB="0" distL="0" distR="0" wp14:anchorId="06BA67CC" wp14:editId="3FB71E59">
                  <wp:extent cx="2352131" cy="1914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17292" t="12222" r="20000" b="19722"/>
                          <a:stretch/>
                        </pic:blipFill>
                        <pic:spPr>
                          <a:xfrm>
                            <a:off x="0" y="0"/>
                            <a:ext cx="2360042" cy="1920964"/>
                          </a:xfrm>
                          <a:prstGeom prst="rect">
                            <a:avLst/>
                          </a:prstGeom>
                        </pic:spPr>
                      </pic:pic>
                    </a:graphicData>
                  </a:graphic>
                </wp:inline>
              </w:drawing>
            </w:r>
          </w:p>
        </w:tc>
      </w:tr>
    </w:tbl>
    <w:p w14:paraId="0A0D79B3" w14:textId="77777777" w:rsidR="002F3878" w:rsidRDefault="002F3878"/>
    <w:sectPr w:rsidR="002F3878" w:rsidSect="00C3750A">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2C9B" w14:textId="77777777" w:rsidR="00C3750A" w:rsidRDefault="00C3750A" w:rsidP="00C3750A">
      <w:pPr>
        <w:spacing w:after="0" w:line="240" w:lineRule="auto"/>
      </w:pPr>
      <w:r>
        <w:separator/>
      </w:r>
    </w:p>
  </w:endnote>
  <w:endnote w:type="continuationSeparator" w:id="0">
    <w:p w14:paraId="072BC875" w14:textId="77777777" w:rsidR="00C3750A" w:rsidRDefault="00C3750A" w:rsidP="00C3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B3AF" w14:textId="77777777" w:rsidR="00C3750A" w:rsidRDefault="00C3750A" w:rsidP="00C3750A">
      <w:pPr>
        <w:spacing w:after="0" w:line="240" w:lineRule="auto"/>
      </w:pPr>
      <w:r>
        <w:separator/>
      </w:r>
    </w:p>
  </w:footnote>
  <w:footnote w:type="continuationSeparator" w:id="0">
    <w:p w14:paraId="154FCDCB" w14:textId="77777777" w:rsidR="00C3750A" w:rsidRDefault="00C3750A" w:rsidP="00C3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B22" w14:textId="73764683" w:rsidR="00C3750A" w:rsidRDefault="00C3750A">
    <w:pPr>
      <w:pStyle w:val="Header"/>
    </w:pPr>
    <w:r>
      <w:t>Preschool II, Erica Reynolds</w:t>
    </w:r>
    <w:r>
      <w:ptab w:relativeTo="margin" w:alignment="center" w:leader="none"/>
    </w:r>
    <w:r>
      <w:t>Easter Unit</w:t>
    </w:r>
    <w:r>
      <w:ptab w:relativeTo="margin" w:alignment="right" w:leader="none"/>
    </w:r>
    <w:r>
      <w:t>March 21,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0A"/>
    <w:rsid w:val="00057449"/>
    <w:rsid w:val="00077F3F"/>
    <w:rsid w:val="00080E56"/>
    <w:rsid w:val="000B7061"/>
    <w:rsid w:val="001C1B3B"/>
    <w:rsid w:val="001E2486"/>
    <w:rsid w:val="001F1C2F"/>
    <w:rsid w:val="002618CF"/>
    <w:rsid w:val="0028579C"/>
    <w:rsid w:val="002F3878"/>
    <w:rsid w:val="003B0101"/>
    <w:rsid w:val="003C3C3C"/>
    <w:rsid w:val="0044025D"/>
    <w:rsid w:val="00447F1C"/>
    <w:rsid w:val="00464E3C"/>
    <w:rsid w:val="0047242D"/>
    <w:rsid w:val="004E572F"/>
    <w:rsid w:val="005537D4"/>
    <w:rsid w:val="00556AF7"/>
    <w:rsid w:val="00576B71"/>
    <w:rsid w:val="005E2093"/>
    <w:rsid w:val="0066139B"/>
    <w:rsid w:val="006679DD"/>
    <w:rsid w:val="00691688"/>
    <w:rsid w:val="006D470C"/>
    <w:rsid w:val="00724AF7"/>
    <w:rsid w:val="007C3B42"/>
    <w:rsid w:val="00892604"/>
    <w:rsid w:val="008C175F"/>
    <w:rsid w:val="009E7C86"/>
    <w:rsid w:val="00C3750A"/>
    <w:rsid w:val="00DA35DD"/>
    <w:rsid w:val="00DB6D8C"/>
    <w:rsid w:val="00E13B06"/>
    <w:rsid w:val="00EA1D38"/>
    <w:rsid w:val="00F21C38"/>
    <w:rsid w:val="00F7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D597"/>
  <w15:chartTrackingRefBased/>
  <w15:docId w15:val="{EAA8E20D-DAA7-45A6-BD67-71108527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0A"/>
  </w:style>
  <w:style w:type="paragraph" w:styleId="Footer">
    <w:name w:val="footer"/>
    <w:basedOn w:val="Normal"/>
    <w:link w:val="FooterChar"/>
    <w:uiPriority w:val="99"/>
    <w:unhideWhenUsed/>
    <w:rsid w:val="00C37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0A"/>
  </w:style>
  <w:style w:type="table" w:styleId="TableGrid">
    <w:name w:val="Table Grid"/>
    <w:basedOn w:val="TableNormal"/>
    <w:uiPriority w:val="39"/>
    <w:rsid w:val="00C37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604"/>
    <w:pPr>
      <w:spacing w:after="0" w:line="240" w:lineRule="auto"/>
    </w:pPr>
  </w:style>
  <w:style w:type="character" w:styleId="Hyperlink">
    <w:name w:val="Hyperlink"/>
    <w:basedOn w:val="DefaultParagraphFont"/>
    <w:uiPriority w:val="99"/>
    <w:unhideWhenUsed/>
    <w:rsid w:val="00576B71"/>
    <w:rPr>
      <w:color w:val="0563C1" w:themeColor="hyperlink"/>
      <w:u w:val="single"/>
    </w:rPr>
  </w:style>
  <w:style w:type="character" w:styleId="UnresolvedMention">
    <w:name w:val="Unresolved Mention"/>
    <w:basedOn w:val="DefaultParagraphFont"/>
    <w:uiPriority w:val="99"/>
    <w:semiHidden/>
    <w:unhideWhenUsed/>
    <w:rsid w:val="0057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ristthetruth.wordpress.com/2013/06/26/turning-water-into-w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gaguilarjramos.blogspot.com/2016/06/simple-machines-physics-in-our-daily.html"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freesvg.org/15391043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reynolds</dc:creator>
  <cp:keywords/>
  <dc:description/>
  <cp:lastModifiedBy>erica reynolds</cp:lastModifiedBy>
  <cp:revision>36</cp:revision>
  <dcterms:created xsi:type="dcterms:W3CDTF">2022-03-07T00:08:00Z</dcterms:created>
  <dcterms:modified xsi:type="dcterms:W3CDTF">2022-03-07T16:17:00Z</dcterms:modified>
</cp:coreProperties>
</file>