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051830A7" w:rsidR="009A2C35" w:rsidRPr="0044708A" w:rsidRDefault="009A2C35" w:rsidP="006F6CD8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Week </w:t>
      </w:r>
      <w:proofErr w:type="gramStart"/>
      <w:r w:rsidRPr="006F6CD8">
        <w:rPr>
          <w:rFonts w:asciiTheme="minorHAnsi" w:hAnsiTheme="minorHAnsi" w:cstheme="minorHAnsi"/>
          <w:b/>
          <w:bCs/>
          <w:sz w:val="28"/>
          <w:szCs w:val="28"/>
        </w:rPr>
        <w:t>of:</w:t>
      </w:r>
      <w:proofErr w:type="gramEnd"/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92592">
        <w:rPr>
          <w:rFonts w:asciiTheme="minorHAnsi" w:hAnsiTheme="minorHAnsi" w:cstheme="minorHAnsi"/>
          <w:sz w:val="28"/>
          <w:szCs w:val="28"/>
        </w:rPr>
        <w:t>3/28-4/1/22</w:t>
      </w:r>
      <w:r w:rsidR="00092592">
        <w:rPr>
          <w:rFonts w:asciiTheme="minorHAnsi" w:hAnsiTheme="minorHAnsi" w:cstheme="minorHAnsi"/>
          <w:sz w:val="28"/>
          <w:szCs w:val="28"/>
        </w:rPr>
        <w:tab/>
      </w:r>
      <w:r w:rsidR="0044708A">
        <w:rPr>
          <w:rFonts w:asciiTheme="minorHAnsi" w:hAnsiTheme="minorHAnsi" w:cstheme="minorHAnsi"/>
          <w:sz w:val="28"/>
          <w:szCs w:val="28"/>
        </w:rPr>
        <w:tab/>
      </w:r>
      <w:r w:rsidR="0044708A">
        <w:rPr>
          <w:rFonts w:asciiTheme="minorHAnsi" w:hAnsiTheme="minorHAnsi" w:cstheme="minorHAnsi"/>
          <w:sz w:val="28"/>
          <w:szCs w:val="28"/>
        </w:rPr>
        <w:tab/>
      </w:r>
      <w:r w:rsidR="0044708A">
        <w:rPr>
          <w:rFonts w:asciiTheme="minorHAnsi" w:hAnsiTheme="minorHAnsi" w:cstheme="minorHAnsi"/>
          <w:b/>
          <w:bCs/>
          <w:sz w:val="28"/>
          <w:szCs w:val="28"/>
        </w:rPr>
        <w:t xml:space="preserve">Topics: </w:t>
      </w:r>
      <w:r w:rsidR="0044708A">
        <w:rPr>
          <w:rFonts w:asciiTheme="minorHAnsi" w:hAnsiTheme="minorHAnsi" w:cstheme="minorHAnsi"/>
          <w:sz w:val="28"/>
          <w:szCs w:val="28"/>
        </w:rPr>
        <w:t xml:space="preserve">Jesus’ ministry, disciples, miracles. </w:t>
      </w:r>
      <w:r w:rsidR="0044708A">
        <w:rPr>
          <w:rFonts w:asciiTheme="minorHAnsi" w:hAnsiTheme="minorHAnsi" w:cstheme="minorHAnsi"/>
          <w:sz w:val="28"/>
          <w:szCs w:val="28"/>
        </w:rPr>
        <w:tab/>
      </w:r>
      <w:r w:rsidR="0044708A">
        <w:rPr>
          <w:rFonts w:asciiTheme="minorHAnsi" w:hAnsiTheme="minorHAnsi" w:cstheme="minorHAnsi"/>
          <w:sz w:val="28"/>
          <w:szCs w:val="28"/>
        </w:rPr>
        <w:tab/>
      </w:r>
      <w:r w:rsidR="0044708A" w:rsidRPr="0044708A">
        <w:rPr>
          <w:rFonts w:asciiTheme="minorHAnsi" w:hAnsiTheme="minorHAnsi" w:cstheme="minorHAnsi"/>
          <w:b/>
          <w:bCs/>
          <w:sz w:val="28"/>
          <w:szCs w:val="28"/>
        </w:rPr>
        <w:t>Teacher:</w:t>
      </w:r>
      <w:r w:rsidR="0044708A">
        <w:rPr>
          <w:rFonts w:asciiTheme="minorHAnsi" w:hAnsiTheme="minorHAnsi" w:cstheme="minorHAnsi"/>
          <w:sz w:val="28"/>
          <w:szCs w:val="28"/>
        </w:rPr>
        <w:t xml:space="preserve"> Mrs. Danielle 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1996"/>
        <w:gridCol w:w="4207"/>
        <w:gridCol w:w="6896"/>
      </w:tblGrid>
      <w:tr w:rsidR="00AE63F9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674F8C" w14:paraId="52E662F5" w14:textId="77777777" w:rsidTr="00171A2F">
        <w:trPr>
          <w:trHeight w:val="2509"/>
        </w:trPr>
        <w:tc>
          <w:tcPr>
            <w:tcW w:w="4365" w:type="dxa"/>
          </w:tcPr>
          <w:p w14:paraId="34E6B2E7" w14:textId="40F26191" w:rsidR="005C7F48" w:rsidRPr="009A6CF8" w:rsidRDefault="009A6CF8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Fine Motor Development: </w:t>
            </w:r>
            <w:r w:rsidR="00596287">
              <w:rPr>
                <w:rFonts w:ascii="Cavolini" w:hAnsi="Cavolini" w:cs="Cavolini"/>
              </w:rPr>
              <w:t>Shows hand control using various drawing and art tools with increasing coordination.</w:t>
            </w:r>
          </w:p>
        </w:tc>
        <w:tc>
          <w:tcPr>
            <w:tcW w:w="4367" w:type="dxa"/>
          </w:tcPr>
          <w:p w14:paraId="50A902E8" w14:textId="77777777" w:rsidR="008A1DEE" w:rsidRDefault="00D65395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Discuss how Jesus went to Heaven when he died and resurrected. Discuss what types/shapes </w:t>
            </w:r>
            <w:r w:rsidR="00842BF9">
              <w:rPr>
                <w:rFonts w:ascii="Cavolini" w:hAnsi="Cavolini" w:cs="Cavolini"/>
              </w:rPr>
              <w:t xml:space="preserve">of clouds that students have seen. Students will then </w:t>
            </w:r>
            <w:r w:rsidR="009639F1">
              <w:rPr>
                <w:rFonts w:ascii="Cavolini" w:hAnsi="Cavolini" w:cs="Cavolini"/>
              </w:rPr>
              <w:t xml:space="preserve">cut out a cloud shape of their choice, glue cotton balls onto it, punch holes and tie a string through their </w:t>
            </w:r>
            <w:r w:rsidR="003C1D07">
              <w:rPr>
                <w:rFonts w:ascii="Cavolini" w:hAnsi="Cavolini" w:cs="Cavolini"/>
              </w:rPr>
              <w:t xml:space="preserve">clouds so they can be hung. </w:t>
            </w:r>
          </w:p>
          <w:p w14:paraId="116A213C" w14:textId="31361C58" w:rsidR="003C1D07" w:rsidRPr="00674F8C" w:rsidRDefault="003C1D07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03EA28ED" wp14:editId="009016E5">
                  <wp:extent cx="2019300" cy="13598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rcRect b="45921"/>
                          <a:stretch/>
                        </pic:blipFill>
                        <pic:spPr bwMode="auto">
                          <a:xfrm>
                            <a:off x="0" y="0"/>
                            <a:ext cx="2019300" cy="1359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2F89C20E" w14:textId="49D4A5F0" w:rsidR="0013431A" w:rsidRPr="00674F8C" w:rsidRDefault="0013431A" w:rsidP="004003E4">
            <w:pPr>
              <w:ind w:firstLine="0"/>
              <w:rPr>
                <w:rFonts w:ascii="Cavolini" w:hAnsi="Cavolini" w:cs="Cavolini"/>
              </w:rPr>
            </w:pPr>
            <w:r w:rsidRPr="00674F8C">
              <w:rPr>
                <w:rFonts w:ascii="Cavolini" w:hAnsi="Cavolini" w:cs="Cavolini"/>
              </w:rPr>
              <w:t xml:space="preserve"> </w:t>
            </w:r>
            <w:r w:rsidR="00BA6240">
              <w:rPr>
                <w:rFonts w:ascii="Cavolini" w:hAnsi="Cavolini" w:cs="Cavolini"/>
              </w:rPr>
              <w:t xml:space="preserve">Go outside and look at the different clouds. Discuss the shapes you see. Have your child recreate the cloud shapes you saw using a variety of art materials and tools. </w:t>
            </w:r>
          </w:p>
        </w:tc>
      </w:tr>
      <w:tr w:rsidR="00AE63F9" w:rsidRPr="00674F8C" w14:paraId="64B6A2C5" w14:textId="77777777" w:rsidTr="00171A2F">
        <w:trPr>
          <w:trHeight w:val="2865"/>
        </w:trPr>
        <w:tc>
          <w:tcPr>
            <w:tcW w:w="4365" w:type="dxa"/>
          </w:tcPr>
          <w:p w14:paraId="1BC13B1B" w14:textId="198BDFC1" w:rsidR="009D3E4C" w:rsidRPr="00D23488" w:rsidRDefault="00D23488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lastRenderedPageBreak/>
              <w:t xml:space="preserve">Managing emotions: </w:t>
            </w:r>
            <w:r>
              <w:rPr>
                <w:rFonts w:ascii="Cavolini" w:hAnsi="Cavolini" w:cs="Cavolini"/>
              </w:rPr>
              <w:t xml:space="preserve">Recognizes and names own emotions and manages </w:t>
            </w:r>
            <w:r w:rsidR="00D72B11">
              <w:rPr>
                <w:rFonts w:ascii="Cavolini" w:hAnsi="Cavolini" w:cs="Cavolini"/>
              </w:rPr>
              <w:t xml:space="preserve">and exhibits behavioral control with or without adult support. </w:t>
            </w:r>
          </w:p>
        </w:tc>
        <w:tc>
          <w:tcPr>
            <w:tcW w:w="4367" w:type="dxa"/>
          </w:tcPr>
          <w:p w14:paraId="7073C92A" w14:textId="77777777" w:rsidR="00AA6A9A" w:rsidRDefault="00D72B11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Picture that Feeling: </w:t>
            </w:r>
            <w:r>
              <w:rPr>
                <w:rFonts w:ascii="Cavolini" w:hAnsi="Cavolini" w:cs="Cavolini"/>
              </w:rPr>
              <w:t xml:space="preserve">Students will paint/create </w:t>
            </w:r>
            <w:r w:rsidR="00302B35">
              <w:rPr>
                <w:rFonts w:ascii="Cavolini" w:hAnsi="Cavolini" w:cs="Cavolini"/>
              </w:rPr>
              <w:t xml:space="preserve">pictures of different feelings and explain why the picture shows that feeling along with </w:t>
            </w:r>
            <w:r w:rsidR="004E3D10">
              <w:rPr>
                <w:rFonts w:ascii="Cavolini" w:hAnsi="Cavolini" w:cs="Cavolini"/>
              </w:rPr>
              <w:t xml:space="preserve">why they chose the colors they did. </w:t>
            </w:r>
          </w:p>
          <w:p w14:paraId="5F05340D" w14:textId="0BC44E4A" w:rsidR="004E3D10" w:rsidRPr="00D72B11" w:rsidRDefault="004E3D10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04FC296E" wp14:editId="374F8166">
                  <wp:extent cx="2526128" cy="18288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12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1773C806" w14:textId="77777777" w:rsidR="00AA6A9A" w:rsidRDefault="00721444" w:rsidP="00AE63F9">
            <w:pPr>
              <w:ind w:firstLine="0"/>
              <w:rPr>
                <w:rFonts w:ascii="Cavolini" w:hAnsi="Cavolini" w:cs="Cavolini"/>
                <w:i/>
                <w:iCs/>
              </w:rPr>
            </w:pPr>
            <w:r>
              <w:rPr>
                <w:rFonts w:ascii="Cavolini" w:hAnsi="Cavolini" w:cs="Cavolini"/>
              </w:rPr>
              <w:t xml:space="preserve">Listen to this read aloud of </w:t>
            </w:r>
            <w:r w:rsidR="00545BD3">
              <w:rPr>
                <w:rFonts w:ascii="Cavolini" w:hAnsi="Cavolini" w:cs="Cavolini"/>
                <w:i/>
                <w:iCs/>
              </w:rPr>
              <w:t xml:space="preserve">A Little Spot of Feelings: </w:t>
            </w:r>
            <w:hyperlink r:id="rId9" w:history="1">
              <w:r w:rsidR="00545BD3" w:rsidRPr="00303097">
                <w:rPr>
                  <w:rStyle w:val="Hyperlink"/>
                  <w:rFonts w:ascii="Cavolini" w:hAnsi="Cavolini" w:cs="Cavolini"/>
                  <w:i/>
                  <w:iCs/>
                </w:rPr>
                <w:t>https://www.youtube.com/watch?v=YC3SQnoggjM</w:t>
              </w:r>
            </w:hyperlink>
            <w:r w:rsidR="00545BD3">
              <w:rPr>
                <w:rFonts w:ascii="Cavolini" w:hAnsi="Cavolini" w:cs="Cavolini"/>
                <w:i/>
                <w:iCs/>
              </w:rPr>
              <w:t xml:space="preserve"> </w:t>
            </w:r>
          </w:p>
          <w:p w14:paraId="10A1989A" w14:textId="77777777" w:rsidR="00545BD3" w:rsidRDefault="00545BD3" w:rsidP="00AE63F9">
            <w:pPr>
              <w:ind w:firstLine="0"/>
              <w:rPr>
                <w:rFonts w:ascii="Cavolini" w:hAnsi="Cavolini" w:cs="Cavolini"/>
              </w:rPr>
            </w:pPr>
          </w:p>
          <w:p w14:paraId="18AAAA1E" w14:textId="77777777" w:rsidR="00545BD3" w:rsidRDefault="00545BD3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Discuss the read aloud and how to express feelings appropriately. </w:t>
            </w:r>
          </w:p>
          <w:p w14:paraId="3130D995" w14:textId="77777777" w:rsidR="00545BD3" w:rsidRDefault="00545BD3" w:rsidP="00AE63F9">
            <w:pPr>
              <w:ind w:firstLine="0"/>
              <w:rPr>
                <w:rFonts w:ascii="Cavolini" w:hAnsi="Cavolini" w:cs="Cavolini"/>
              </w:rPr>
            </w:pPr>
          </w:p>
          <w:p w14:paraId="65AACE3B" w14:textId="3B1FADD2" w:rsidR="00545BD3" w:rsidRPr="00545BD3" w:rsidRDefault="00545BD3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Create art together to show different emotions.</w:t>
            </w:r>
          </w:p>
        </w:tc>
      </w:tr>
      <w:tr w:rsidR="006F6CD8" w:rsidRPr="00674F8C" w14:paraId="76820CBA" w14:textId="77777777" w:rsidTr="00171A2F">
        <w:trPr>
          <w:trHeight w:val="2865"/>
        </w:trPr>
        <w:tc>
          <w:tcPr>
            <w:tcW w:w="4365" w:type="dxa"/>
          </w:tcPr>
          <w:p w14:paraId="39F0861C" w14:textId="0A9272C6" w:rsidR="006F6CD8" w:rsidRPr="001C601E" w:rsidRDefault="001C601E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Approaches to Learning: Persistence: </w:t>
            </w:r>
            <w:r>
              <w:rPr>
                <w:rFonts w:ascii="Cavolini" w:hAnsi="Cavolini" w:cs="Cavolini"/>
              </w:rPr>
              <w:t xml:space="preserve">Attends to tasks for a brief </w:t>
            </w:r>
            <w:proofErr w:type="gramStart"/>
            <w:r>
              <w:rPr>
                <w:rFonts w:ascii="Cavolini" w:hAnsi="Cavolini" w:cs="Cavolini"/>
              </w:rPr>
              <w:t>period of time</w:t>
            </w:r>
            <w:proofErr w:type="gramEnd"/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4367" w:type="dxa"/>
          </w:tcPr>
          <w:p w14:paraId="5B55BC68" w14:textId="6C1BC99F" w:rsidR="006F6CD8" w:rsidRPr="00674F8C" w:rsidRDefault="001C601E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Lenten goals: At the beginning of the unit, students set Lenten goals that will guide us to being more like Jesus. We will discuss our progress in meeting our goals and </w:t>
            </w:r>
            <w:r w:rsidR="000013C4">
              <w:rPr>
                <w:rFonts w:ascii="Cavolini" w:hAnsi="Cavolini" w:cs="Cavolini"/>
              </w:rPr>
              <w:t>how we can continue to improve.</w:t>
            </w:r>
          </w:p>
        </w:tc>
        <w:tc>
          <w:tcPr>
            <w:tcW w:w="4367" w:type="dxa"/>
          </w:tcPr>
          <w:p w14:paraId="0329D2A1" w14:textId="500FA35A" w:rsidR="006F6CD8" w:rsidRPr="00674F8C" w:rsidRDefault="000013C4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Discuss Lenten goals</w:t>
            </w:r>
            <w:r w:rsidR="0009139B">
              <w:rPr>
                <w:rFonts w:ascii="Cavolini" w:hAnsi="Cavolini" w:cs="Cavolini"/>
              </w:rPr>
              <w:t>, progress, and add to goals as needed.</w:t>
            </w:r>
          </w:p>
        </w:tc>
      </w:tr>
    </w:tbl>
    <w:p w14:paraId="0069D5B0" w14:textId="6CA740E8" w:rsidR="009467D2" w:rsidRPr="00674F8C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674F8C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013C4"/>
    <w:rsid w:val="000368BF"/>
    <w:rsid w:val="000505D4"/>
    <w:rsid w:val="0009139B"/>
    <w:rsid w:val="00092592"/>
    <w:rsid w:val="00126E08"/>
    <w:rsid w:val="0013431A"/>
    <w:rsid w:val="00171A2F"/>
    <w:rsid w:val="001C601E"/>
    <w:rsid w:val="001F563D"/>
    <w:rsid w:val="00210317"/>
    <w:rsid w:val="00237F21"/>
    <w:rsid w:val="00302B35"/>
    <w:rsid w:val="00393FAC"/>
    <w:rsid w:val="003C1D07"/>
    <w:rsid w:val="004003E4"/>
    <w:rsid w:val="0044708A"/>
    <w:rsid w:val="004E3D10"/>
    <w:rsid w:val="004E536B"/>
    <w:rsid w:val="004F63FE"/>
    <w:rsid w:val="00545BD3"/>
    <w:rsid w:val="00596287"/>
    <w:rsid w:val="005C7F48"/>
    <w:rsid w:val="00674F8C"/>
    <w:rsid w:val="006F6CD8"/>
    <w:rsid w:val="00721444"/>
    <w:rsid w:val="007F3618"/>
    <w:rsid w:val="00842BF9"/>
    <w:rsid w:val="008A1DEE"/>
    <w:rsid w:val="008E7256"/>
    <w:rsid w:val="0091121A"/>
    <w:rsid w:val="009467D2"/>
    <w:rsid w:val="009639F1"/>
    <w:rsid w:val="009A2C35"/>
    <w:rsid w:val="009A6CF8"/>
    <w:rsid w:val="009D3E4C"/>
    <w:rsid w:val="00AA6A9A"/>
    <w:rsid w:val="00AE63F9"/>
    <w:rsid w:val="00AF7C2A"/>
    <w:rsid w:val="00BA6240"/>
    <w:rsid w:val="00C2648A"/>
    <w:rsid w:val="00C54158"/>
    <w:rsid w:val="00CE2613"/>
    <w:rsid w:val="00D23488"/>
    <w:rsid w:val="00D35D05"/>
    <w:rsid w:val="00D65395"/>
    <w:rsid w:val="00D72B11"/>
    <w:rsid w:val="00DA4F0D"/>
    <w:rsid w:val="00E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artoon-faces-expressions-emotions-17690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lifeandkids.com/20-crafts-inspired-by-book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3SQnogg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22</cp:revision>
  <dcterms:created xsi:type="dcterms:W3CDTF">2022-02-23T01:29:00Z</dcterms:created>
  <dcterms:modified xsi:type="dcterms:W3CDTF">2022-02-23T01:48:00Z</dcterms:modified>
</cp:coreProperties>
</file>