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BA469" w14:textId="3020C225" w:rsidR="008C005C" w:rsidRDefault="008C005C" w:rsidP="00A228C3">
      <w:pPr>
        <w:jc w:val="center"/>
        <w:rPr>
          <w:rFonts w:ascii="KG Primary Penmanship 2" w:hAnsi="KG Primary Penmanship 2"/>
          <w:b/>
          <w:bCs/>
          <w:sz w:val="40"/>
          <w:szCs w:val="40"/>
        </w:rPr>
      </w:pPr>
    </w:p>
    <w:p w14:paraId="0C644129" w14:textId="73C4C102" w:rsidR="00A228C3" w:rsidRDefault="008C005C"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0BD8E8BB">
            <wp:simplePos x="0" y="0"/>
            <wp:positionH relativeFrom="margin">
              <wp:posOffset>3697605</wp:posOffset>
            </wp:positionH>
            <wp:positionV relativeFrom="margin">
              <wp:posOffset>265430</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3AE503D2"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4B548892"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135"/>
        <w:gridCol w:w="5580"/>
        <w:gridCol w:w="4541"/>
      </w:tblGrid>
      <w:tr w:rsidR="00B922AF" w:rsidRPr="00052D8C" w14:paraId="3C6E3963" w14:textId="77777777" w:rsidTr="00052D8C">
        <w:trPr>
          <w:trHeight w:val="647"/>
        </w:trPr>
        <w:tc>
          <w:tcPr>
            <w:tcW w:w="4135" w:type="dxa"/>
            <w:vAlign w:val="center"/>
          </w:tcPr>
          <w:p w14:paraId="0E394E5A" w14:textId="77777777" w:rsidR="00A228C3" w:rsidRPr="00052D8C" w:rsidRDefault="00A228C3" w:rsidP="00634D7B">
            <w:pPr>
              <w:jc w:val="center"/>
              <w:rPr>
                <w:rFonts w:ascii="KG Primary Penmanship 2" w:hAnsi="KG Primary Penmanship 2"/>
                <w:b/>
                <w:bCs/>
                <w:szCs w:val="20"/>
              </w:rPr>
            </w:pPr>
            <w:r w:rsidRPr="00052D8C">
              <w:rPr>
                <w:rFonts w:ascii="KG Primary Penmanship 2" w:hAnsi="KG Primary Penmanship 2"/>
                <w:b/>
                <w:bCs/>
                <w:szCs w:val="20"/>
              </w:rPr>
              <w:t>Standard Focus</w:t>
            </w:r>
          </w:p>
        </w:tc>
        <w:tc>
          <w:tcPr>
            <w:tcW w:w="5580" w:type="dxa"/>
            <w:vAlign w:val="center"/>
          </w:tcPr>
          <w:p w14:paraId="477F9C33" w14:textId="77777777" w:rsidR="00A228C3" w:rsidRPr="00052D8C" w:rsidRDefault="00A228C3" w:rsidP="00634D7B">
            <w:pPr>
              <w:jc w:val="center"/>
              <w:rPr>
                <w:rFonts w:ascii="KG Primary Penmanship 2" w:hAnsi="KG Primary Penmanship 2"/>
                <w:b/>
                <w:bCs/>
                <w:szCs w:val="20"/>
              </w:rPr>
            </w:pPr>
            <w:r w:rsidRPr="00052D8C">
              <w:rPr>
                <w:rFonts w:ascii="KG Primary Penmanship 2" w:hAnsi="KG Primary Penmanship 2"/>
                <w:b/>
                <w:bCs/>
                <w:szCs w:val="20"/>
              </w:rPr>
              <w:t>Activity</w:t>
            </w:r>
          </w:p>
        </w:tc>
        <w:tc>
          <w:tcPr>
            <w:tcW w:w="4541" w:type="dxa"/>
            <w:vAlign w:val="center"/>
          </w:tcPr>
          <w:p w14:paraId="05983D24" w14:textId="77777777" w:rsidR="00A228C3" w:rsidRPr="00052D8C" w:rsidRDefault="00A228C3" w:rsidP="00634D7B">
            <w:pPr>
              <w:jc w:val="center"/>
              <w:rPr>
                <w:rFonts w:ascii="KG Primary Penmanship 2" w:hAnsi="KG Primary Penmanship 2"/>
                <w:b/>
                <w:bCs/>
                <w:szCs w:val="20"/>
              </w:rPr>
            </w:pPr>
            <w:r w:rsidRPr="00052D8C">
              <w:rPr>
                <w:rFonts w:ascii="KG Primary Penmanship 2" w:hAnsi="KG Primary Penmanship 2"/>
                <w:b/>
                <w:bCs/>
                <w:szCs w:val="20"/>
              </w:rPr>
              <w:t>Home Extension Activity</w:t>
            </w:r>
          </w:p>
        </w:tc>
      </w:tr>
      <w:tr w:rsidR="00B922AF" w:rsidRPr="00052D8C" w14:paraId="1A1A9740" w14:textId="77777777" w:rsidTr="00052D8C">
        <w:trPr>
          <w:trHeight w:val="1394"/>
        </w:trPr>
        <w:tc>
          <w:tcPr>
            <w:tcW w:w="4135" w:type="dxa"/>
            <w:tcBorders>
              <w:bottom w:val="single" w:sz="4" w:space="0" w:color="auto"/>
            </w:tcBorders>
          </w:tcPr>
          <w:p w14:paraId="0F6AC5C6" w14:textId="77777777" w:rsidR="006D6DC9" w:rsidRPr="00052D8C" w:rsidRDefault="006D6DC9" w:rsidP="006D6DC9">
            <w:pPr>
              <w:pStyle w:val="ListParagraph"/>
              <w:numPr>
                <w:ilvl w:val="0"/>
                <w:numId w:val="1"/>
              </w:numPr>
              <w:spacing w:line="240" w:lineRule="auto"/>
              <w:rPr>
                <w:rFonts w:ascii="KG Primary Penmanship 2" w:hAnsi="KG Primary Penmanship 2"/>
                <w:sz w:val="24"/>
                <w:szCs w:val="20"/>
              </w:rPr>
            </w:pPr>
            <w:r w:rsidRPr="00052D8C">
              <w:rPr>
                <w:rFonts w:ascii="KG Primary Penmanship 2" w:hAnsi="KG Primary Penmanship 2"/>
                <w:sz w:val="24"/>
                <w:szCs w:val="20"/>
              </w:rPr>
              <w:t>Counts and identifies the number sequence “1 to 10”</w:t>
            </w:r>
          </w:p>
          <w:p w14:paraId="2B6248A8" w14:textId="77777777" w:rsidR="006D6DC9" w:rsidRPr="00052D8C" w:rsidRDefault="006D6DC9" w:rsidP="006D6DC9">
            <w:pPr>
              <w:pStyle w:val="ListParagraph"/>
              <w:numPr>
                <w:ilvl w:val="0"/>
                <w:numId w:val="1"/>
              </w:numPr>
              <w:spacing w:line="240" w:lineRule="auto"/>
              <w:rPr>
                <w:rFonts w:ascii="KG Primary Penmanship 2" w:hAnsi="KG Primary Penmanship 2"/>
                <w:sz w:val="24"/>
                <w:szCs w:val="20"/>
              </w:rPr>
            </w:pPr>
            <w:r w:rsidRPr="00052D8C">
              <w:rPr>
                <w:rFonts w:ascii="KG Primary Penmanship 2" w:hAnsi="KG Primary Penmanship 2"/>
                <w:sz w:val="24"/>
                <w:szCs w:val="20"/>
              </w:rPr>
              <w:t>Identifies the last number spoken tells “how many” up to five (cardinality)</w:t>
            </w:r>
          </w:p>
          <w:p w14:paraId="748A1312" w14:textId="77777777" w:rsidR="006D6DC9" w:rsidRPr="00052D8C" w:rsidRDefault="006D6DC9" w:rsidP="006D6DC9">
            <w:pPr>
              <w:pStyle w:val="ListParagraph"/>
              <w:numPr>
                <w:ilvl w:val="0"/>
                <w:numId w:val="1"/>
              </w:numPr>
              <w:spacing w:line="240" w:lineRule="auto"/>
              <w:rPr>
                <w:rFonts w:ascii="KG Primary Penmanship 2" w:hAnsi="KG Primary Penmanship 2"/>
                <w:sz w:val="24"/>
                <w:szCs w:val="20"/>
              </w:rPr>
            </w:pPr>
            <w:r w:rsidRPr="00052D8C">
              <w:rPr>
                <w:rFonts w:ascii="KG Primary Penmanship 2" w:hAnsi="KG Primary Penmanship 2"/>
                <w:sz w:val="24"/>
                <w:szCs w:val="20"/>
              </w:rPr>
              <w:t>Counts sets constructed by the teacher to five and beyond</w:t>
            </w:r>
          </w:p>
          <w:p w14:paraId="69C2C548" w14:textId="230C06D0" w:rsidR="00FD1BB4" w:rsidRPr="00052D8C" w:rsidRDefault="006D6DC9" w:rsidP="006D6DC9">
            <w:pPr>
              <w:pStyle w:val="ListParagraph"/>
              <w:numPr>
                <w:ilvl w:val="0"/>
                <w:numId w:val="1"/>
              </w:numPr>
              <w:spacing w:line="240" w:lineRule="auto"/>
              <w:rPr>
                <w:rFonts w:ascii="KG Primary Penmanship 2" w:hAnsi="KG Primary Penmanship 2"/>
                <w:sz w:val="24"/>
                <w:szCs w:val="20"/>
              </w:rPr>
            </w:pPr>
            <w:r w:rsidRPr="00052D8C">
              <w:rPr>
                <w:rFonts w:ascii="KG Primary Penmanship 2" w:hAnsi="KG Primary Penmanship 2"/>
                <w:sz w:val="24"/>
                <w:szCs w:val="20"/>
              </w:rPr>
              <w:t>Constructs and counts sets of one to five and beyond</w:t>
            </w:r>
          </w:p>
        </w:tc>
        <w:tc>
          <w:tcPr>
            <w:tcW w:w="5580" w:type="dxa"/>
            <w:tcBorders>
              <w:bottom w:val="single" w:sz="4" w:space="0" w:color="auto"/>
            </w:tcBorders>
          </w:tcPr>
          <w:p w14:paraId="6A0FE73D" w14:textId="77777777" w:rsidR="00A228C3" w:rsidRPr="00052D8C" w:rsidRDefault="006D6DC9" w:rsidP="00F7312D">
            <w:pPr>
              <w:ind w:left="288"/>
              <w:rPr>
                <w:rFonts w:ascii="KG Primary Penmanship 2" w:hAnsi="KG Primary Penmanship 2"/>
                <w:szCs w:val="20"/>
              </w:rPr>
            </w:pPr>
            <w:r w:rsidRPr="00052D8C">
              <w:rPr>
                <w:noProof/>
                <w:szCs w:val="20"/>
              </w:rPr>
              <w:drawing>
                <wp:anchor distT="0" distB="0" distL="114300" distR="114300" simplePos="0" relativeHeight="251661312" behindDoc="0" locked="0" layoutInCell="1" allowOverlap="1" wp14:anchorId="06C16EC8" wp14:editId="45C390E6">
                  <wp:simplePos x="0" y="0"/>
                  <wp:positionH relativeFrom="column">
                    <wp:posOffset>90170</wp:posOffset>
                  </wp:positionH>
                  <wp:positionV relativeFrom="paragraph">
                    <wp:posOffset>196215</wp:posOffset>
                  </wp:positionV>
                  <wp:extent cx="966470" cy="1277620"/>
                  <wp:effectExtent l="0" t="3175"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6200000" flipH="1" flipV="1">
                            <a:off x="0" y="0"/>
                            <a:ext cx="966470" cy="1277620"/>
                          </a:xfrm>
                          <a:prstGeom prst="rect">
                            <a:avLst/>
                          </a:prstGeom>
                        </pic:spPr>
                      </pic:pic>
                    </a:graphicData>
                  </a:graphic>
                  <wp14:sizeRelH relativeFrom="page">
                    <wp14:pctWidth>0</wp14:pctWidth>
                  </wp14:sizeRelH>
                  <wp14:sizeRelV relativeFrom="page">
                    <wp14:pctHeight>0</wp14:pctHeight>
                  </wp14:sizeRelV>
                </wp:anchor>
              </w:drawing>
            </w:r>
            <w:r w:rsidRPr="00052D8C">
              <w:rPr>
                <w:rFonts w:ascii="KG Primary Penmanship 2" w:hAnsi="KG Primary Penmanship 2"/>
                <w:szCs w:val="20"/>
              </w:rPr>
              <w:t>Feed the Shark Game</w:t>
            </w:r>
          </w:p>
          <w:p w14:paraId="76D0BE04" w14:textId="2A2B87E0" w:rsidR="006D6DC9" w:rsidRPr="00052D8C" w:rsidRDefault="006D6DC9" w:rsidP="00F7312D">
            <w:pPr>
              <w:ind w:left="288"/>
              <w:rPr>
                <w:rFonts w:ascii="KG Primary Penmanship 2" w:hAnsi="KG Primary Penmanship 2"/>
                <w:szCs w:val="20"/>
              </w:rPr>
            </w:pPr>
            <w:r w:rsidRPr="00052D8C">
              <w:rPr>
                <w:rFonts w:ascii="KG Primary Penmanship 2" w:hAnsi="KG Primary Penmanship 2"/>
                <w:szCs w:val="20"/>
              </w:rPr>
              <w:t xml:space="preserve">The children will </w:t>
            </w:r>
            <w:r w:rsidR="00B922AF">
              <w:rPr>
                <w:rFonts w:ascii="KG Primary Penmanship 2" w:hAnsi="KG Primary Penmanship 2"/>
                <w:szCs w:val="20"/>
              </w:rPr>
              <w:t>pick a number card and</w:t>
            </w:r>
            <w:r w:rsidRPr="00052D8C">
              <w:rPr>
                <w:rFonts w:ascii="KG Primary Penmanship 2" w:hAnsi="KG Primary Penmanship 2"/>
                <w:szCs w:val="20"/>
              </w:rPr>
              <w:t xml:space="preserve"> feed the shark </w:t>
            </w:r>
            <w:r w:rsidR="00B922AF">
              <w:rPr>
                <w:rFonts w:ascii="KG Primary Penmanship 2" w:hAnsi="KG Primary Penmanship 2"/>
                <w:szCs w:val="20"/>
              </w:rPr>
              <w:t>the corresponding n</w:t>
            </w:r>
            <w:r w:rsidRPr="00052D8C">
              <w:rPr>
                <w:rFonts w:ascii="KG Primary Penmanship 2" w:hAnsi="KG Primary Penmanship 2"/>
                <w:szCs w:val="20"/>
              </w:rPr>
              <w:t>umber of fish.  The child will count the fish and then put them in the shark</w:t>
            </w:r>
            <w:r w:rsidR="00DF4D2E" w:rsidRPr="00052D8C">
              <w:rPr>
                <w:rFonts w:ascii="KG Primary Penmanship 2" w:hAnsi="KG Primary Penmanship 2"/>
                <w:szCs w:val="20"/>
              </w:rPr>
              <w:t>’</w:t>
            </w:r>
            <w:r w:rsidRPr="00052D8C">
              <w:rPr>
                <w:rFonts w:ascii="KG Primary Penmanship 2" w:hAnsi="KG Primary Penmanship 2"/>
                <w:szCs w:val="20"/>
              </w:rPr>
              <w:t>s mouth.</w:t>
            </w:r>
          </w:p>
        </w:tc>
        <w:tc>
          <w:tcPr>
            <w:tcW w:w="4541" w:type="dxa"/>
            <w:tcBorders>
              <w:bottom w:val="single" w:sz="4" w:space="0" w:color="auto"/>
            </w:tcBorders>
          </w:tcPr>
          <w:p w14:paraId="0FFFED16" w14:textId="77777777" w:rsidR="00A228C3" w:rsidRDefault="00B922AF" w:rsidP="00634D7B">
            <w:pPr>
              <w:ind w:left="288"/>
              <w:rPr>
                <w:rFonts w:ascii="KG Primary Penmanship 2" w:hAnsi="KG Primary Penmanship 2"/>
                <w:szCs w:val="20"/>
              </w:rPr>
            </w:pPr>
            <w:r>
              <w:rPr>
                <w:rFonts w:ascii="KG Primary Penmanship 2" w:hAnsi="KG Primary Penmanship 2"/>
                <w:noProof/>
                <w:szCs w:val="20"/>
              </w:rPr>
              <w:drawing>
                <wp:anchor distT="0" distB="0" distL="114300" distR="114300" simplePos="0" relativeHeight="251663360" behindDoc="0" locked="0" layoutInCell="1" allowOverlap="1" wp14:anchorId="27B08FE7" wp14:editId="2A666A88">
                  <wp:simplePos x="0" y="0"/>
                  <wp:positionH relativeFrom="column">
                    <wp:posOffset>187960</wp:posOffset>
                  </wp:positionH>
                  <wp:positionV relativeFrom="paragraph">
                    <wp:posOffset>0</wp:posOffset>
                  </wp:positionV>
                  <wp:extent cx="1310005" cy="1670685"/>
                  <wp:effectExtent l="0" t="0" r="0" b="5715"/>
                  <wp:wrapSquare wrapText="bothSides"/>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005" cy="1670685"/>
                          </a:xfrm>
                          <a:prstGeom prst="rect">
                            <a:avLst/>
                          </a:prstGeom>
                        </pic:spPr>
                      </pic:pic>
                    </a:graphicData>
                  </a:graphic>
                  <wp14:sizeRelH relativeFrom="page">
                    <wp14:pctWidth>0</wp14:pctWidth>
                  </wp14:sizeRelH>
                  <wp14:sizeRelV relativeFrom="page">
                    <wp14:pctHeight>0</wp14:pctHeight>
                  </wp14:sizeRelV>
                </wp:anchor>
              </w:drawing>
            </w:r>
            <w:r w:rsidR="00FB2C83">
              <w:rPr>
                <w:rFonts w:ascii="KG Primary Penmanship 2" w:hAnsi="KG Primary Penmanship 2"/>
                <w:szCs w:val="20"/>
              </w:rPr>
              <w:t>Use the attached sheet to play this Shark Roll and Cover Teeth game.</w:t>
            </w:r>
          </w:p>
          <w:p w14:paraId="24848756" w14:textId="77777777" w:rsidR="00FB2C83" w:rsidRDefault="00FB2C83" w:rsidP="00634D7B">
            <w:pPr>
              <w:ind w:left="288"/>
              <w:rPr>
                <w:rFonts w:ascii="KG Primary Penmanship 2" w:hAnsi="KG Primary Penmanship 2"/>
                <w:szCs w:val="20"/>
              </w:rPr>
            </w:pPr>
          </w:p>
          <w:p w14:paraId="41169338" w14:textId="44B40A09" w:rsidR="00FB2C83" w:rsidRPr="00052D8C" w:rsidRDefault="00FB2C83" w:rsidP="00634D7B">
            <w:pPr>
              <w:ind w:left="288"/>
              <w:rPr>
                <w:rFonts w:ascii="KG Primary Penmanship 2" w:hAnsi="KG Primary Penmanship 2"/>
                <w:szCs w:val="20"/>
              </w:rPr>
            </w:pPr>
            <w:r>
              <w:rPr>
                <w:rFonts w:ascii="KG Primary Penmanship 2" w:hAnsi="KG Primary Penmanship 2"/>
                <w:szCs w:val="20"/>
              </w:rPr>
              <w:t>You can cover the teeth with playdough or paper triangles.</w:t>
            </w:r>
          </w:p>
        </w:tc>
      </w:tr>
      <w:tr w:rsidR="00B922AF" w:rsidRPr="00052D8C" w14:paraId="7D0E986F" w14:textId="77777777" w:rsidTr="00052D8C">
        <w:trPr>
          <w:trHeight w:val="1584"/>
        </w:trPr>
        <w:tc>
          <w:tcPr>
            <w:tcW w:w="4135" w:type="dxa"/>
            <w:tcBorders>
              <w:bottom w:val="single" w:sz="4" w:space="0" w:color="auto"/>
            </w:tcBorders>
          </w:tcPr>
          <w:p w14:paraId="092925CE" w14:textId="1EA7A4A7" w:rsidR="00DF4D2E" w:rsidRPr="00052D8C" w:rsidRDefault="00DF4D2E" w:rsidP="00DF4D2E">
            <w:pPr>
              <w:pStyle w:val="ListParagraph"/>
              <w:numPr>
                <w:ilvl w:val="0"/>
                <w:numId w:val="1"/>
              </w:numPr>
              <w:rPr>
                <w:rFonts w:ascii="KG Primary Penmanship 2" w:hAnsi="KG Primary Penmanship 2"/>
                <w:sz w:val="24"/>
                <w:szCs w:val="20"/>
              </w:rPr>
            </w:pPr>
            <w:r w:rsidRPr="00052D8C">
              <w:rPr>
                <w:rFonts w:ascii="KG Primary Penmanship 2" w:hAnsi="KG Primary Penmanship 2"/>
                <w:sz w:val="24"/>
                <w:szCs w:val="20"/>
              </w:rPr>
              <w:t>Increasingly coordinates hand and eye movements to perform a variety of actions with increasing precision</w:t>
            </w:r>
          </w:p>
        </w:tc>
        <w:tc>
          <w:tcPr>
            <w:tcW w:w="5580" w:type="dxa"/>
            <w:tcBorders>
              <w:bottom w:val="single" w:sz="4" w:space="0" w:color="auto"/>
            </w:tcBorders>
          </w:tcPr>
          <w:p w14:paraId="40E7450B" w14:textId="0A0318F7" w:rsidR="00DF4D2E" w:rsidRPr="00052D8C" w:rsidRDefault="00DF4D2E" w:rsidP="00DF4D2E">
            <w:pPr>
              <w:ind w:left="288"/>
              <w:rPr>
                <w:rFonts w:ascii="KG Primary Penmanship 2" w:hAnsi="KG Primary Penmanship 2"/>
                <w:szCs w:val="20"/>
              </w:rPr>
            </w:pPr>
            <w:r w:rsidRPr="00052D8C">
              <w:rPr>
                <w:noProof/>
                <w:szCs w:val="20"/>
              </w:rPr>
              <w:drawing>
                <wp:anchor distT="0" distB="0" distL="114300" distR="114300" simplePos="0" relativeHeight="251662336" behindDoc="0" locked="0" layoutInCell="1" allowOverlap="1" wp14:anchorId="351E267A" wp14:editId="2CD64CBB">
                  <wp:simplePos x="0" y="0"/>
                  <wp:positionH relativeFrom="column">
                    <wp:posOffset>182880</wp:posOffset>
                  </wp:positionH>
                  <wp:positionV relativeFrom="paragraph">
                    <wp:posOffset>-4445</wp:posOffset>
                  </wp:positionV>
                  <wp:extent cx="1050105" cy="1067320"/>
                  <wp:effectExtent l="0" t="0" r="4445" b="0"/>
                  <wp:wrapSquare wrapText="bothSides"/>
                  <wp:docPr id="33" name="Picture 33" descr="A picture containing table, sitt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 Shot 2020-05-24 at 2.14.51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0105" cy="1067320"/>
                          </a:xfrm>
                          <a:prstGeom prst="rect">
                            <a:avLst/>
                          </a:prstGeom>
                        </pic:spPr>
                      </pic:pic>
                    </a:graphicData>
                  </a:graphic>
                  <wp14:sizeRelH relativeFrom="page">
                    <wp14:pctWidth>0</wp14:pctWidth>
                  </wp14:sizeRelH>
                  <wp14:sizeRelV relativeFrom="page">
                    <wp14:pctHeight>0</wp14:pctHeight>
                  </wp14:sizeRelV>
                </wp:anchor>
              </w:drawing>
            </w:r>
            <w:r w:rsidRPr="00052D8C">
              <w:rPr>
                <w:rFonts w:ascii="KG Primary Penmanship 2" w:hAnsi="KG Primary Penmanship 2"/>
                <w:szCs w:val="20"/>
              </w:rPr>
              <w:t xml:space="preserve">Fruit of the Spirit: </w:t>
            </w:r>
            <w:r w:rsidR="00B922AF" w:rsidRPr="00052D8C">
              <w:rPr>
                <w:rFonts w:ascii="KG Primary Penmanship 2" w:hAnsi="KG Primary Penmanship 2"/>
                <w:szCs w:val="20"/>
              </w:rPr>
              <w:t>faithfulness</w:t>
            </w:r>
          </w:p>
          <w:p w14:paraId="0A9C021E" w14:textId="7A0834DC" w:rsidR="00DF4D2E" w:rsidRPr="00052D8C" w:rsidRDefault="00DF4D2E" w:rsidP="00DF4D2E">
            <w:pPr>
              <w:ind w:left="288"/>
              <w:rPr>
                <w:rFonts w:ascii="KG Primary Penmanship 2" w:hAnsi="KG Primary Penmanship 2"/>
                <w:szCs w:val="20"/>
              </w:rPr>
            </w:pPr>
            <w:r w:rsidRPr="00052D8C">
              <w:rPr>
                <w:rFonts w:ascii="KG Primary Penmanship 2" w:hAnsi="KG Primary Penmanship 2"/>
                <w:szCs w:val="20"/>
              </w:rPr>
              <w:t>The children will be read the story of Noah.  They will discuss how the rainbow is a symbol of God’s faithfulness.</w:t>
            </w:r>
          </w:p>
        </w:tc>
        <w:tc>
          <w:tcPr>
            <w:tcW w:w="4541" w:type="dxa"/>
            <w:tcBorders>
              <w:bottom w:val="single" w:sz="4" w:space="0" w:color="auto"/>
            </w:tcBorders>
          </w:tcPr>
          <w:p w14:paraId="185750BC" w14:textId="7B8013CE" w:rsidR="00DF4D2E" w:rsidRDefault="00B922AF" w:rsidP="00DF4D2E">
            <w:pPr>
              <w:ind w:left="288"/>
              <w:rPr>
                <w:rFonts w:ascii="KG Primary Penmanship 2" w:hAnsi="KG Primary Penmanship 2"/>
                <w:szCs w:val="20"/>
              </w:rPr>
            </w:pPr>
            <w:r>
              <w:rPr>
                <w:rFonts w:ascii="KG Primary Penmanship 2" w:hAnsi="KG Primary Penmanship 2"/>
                <w:szCs w:val="20"/>
              </w:rPr>
              <w:t>Here’s a link to a video telling the story of Noah’s Ark.</w:t>
            </w:r>
          </w:p>
          <w:p w14:paraId="7B84C715" w14:textId="2FD67D92" w:rsidR="00B922AF" w:rsidRDefault="00B922AF" w:rsidP="00DF4D2E">
            <w:pPr>
              <w:ind w:left="288"/>
              <w:rPr>
                <w:rFonts w:ascii="KG Primary Penmanship 2" w:hAnsi="KG Primary Penmanship 2"/>
                <w:szCs w:val="20"/>
              </w:rPr>
            </w:pPr>
          </w:p>
          <w:p w14:paraId="529C1724" w14:textId="1E1DA69D" w:rsidR="00B922AF" w:rsidRDefault="00E01677" w:rsidP="00DF4D2E">
            <w:pPr>
              <w:ind w:left="288"/>
              <w:rPr>
                <w:rFonts w:ascii="KG Primary Penmanship 2" w:hAnsi="KG Primary Penmanship 2"/>
                <w:szCs w:val="20"/>
              </w:rPr>
            </w:pPr>
            <w:hyperlink r:id="rId11" w:history="1">
              <w:r w:rsidR="00B922AF" w:rsidRPr="00B922AF">
                <w:rPr>
                  <w:rStyle w:val="Hyperlink"/>
                  <w:rFonts w:ascii="KG Primary Penmanship 2" w:hAnsi="KG Primary Penmanship 2"/>
                  <w:szCs w:val="20"/>
                </w:rPr>
                <w:t>4 Noah's Ark by Care Bear's Bible Stories for Kids</w:t>
              </w:r>
            </w:hyperlink>
          </w:p>
          <w:p w14:paraId="4E6A7D34" w14:textId="77777777" w:rsidR="00B922AF" w:rsidRDefault="00B922AF" w:rsidP="00DF4D2E">
            <w:pPr>
              <w:ind w:left="288"/>
              <w:rPr>
                <w:rFonts w:ascii="KG Primary Penmanship 2" w:hAnsi="KG Primary Penmanship 2"/>
                <w:szCs w:val="20"/>
              </w:rPr>
            </w:pPr>
          </w:p>
          <w:p w14:paraId="1E09E7CE" w14:textId="68C0FB02" w:rsidR="00B922AF" w:rsidRPr="00052D8C" w:rsidRDefault="00B922AF" w:rsidP="00DF4D2E">
            <w:pPr>
              <w:ind w:left="288"/>
              <w:rPr>
                <w:rFonts w:ascii="KG Primary Penmanship 2" w:hAnsi="KG Primary Penmanship 2"/>
                <w:szCs w:val="20"/>
              </w:rPr>
            </w:pPr>
          </w:p>
        </w:tc>
      </w:tr>
      <w:tr w:rsidR="00B922AF" w:rsidRPr="00052D8C" w14:paraId="0210068E" w14:textId="77777777" w:rsidTr="00052D8C">
        <w:trPr>
          <w:trHeight w:val="1584"/>
        </w:trPr>
        <w:tc>
          <w:tcPr>
            <w:tcW w:w="4135" w:type="dxa"/>
            <w:tcBorders>
              <w:top w:val="single" w:sz="4" w:space="0" w:color="auto"/>
            </w:tcBorders>
          </w:tcPr>
          <w:p w14:paraId="14200AF7" w14:textId="77777777" w:rsidR="00F754F1" w:rsidRPr="00F754F1" w:rsidRDefault="00F754F1" w:rsidP="00F754F1">
            <w:pPr>
              <w:pStyle w:val="ListParagraph"/>
              <w:numPr>
                <w:ilvl w:val="0"/>
                <w:numId w:val="5"/>
              </w:numPr>
              <w:spacing w:after="0"/>
              <w:ind w:left="792"/>
              <w:rPr>
                <w:rFonts w:ascii="KG Primary Penmanship 2" w:hAnsi="KG Primary Penmanship 2"/>
                <w:sz w:val="24"/>
                <w:szCs w:val="20"/>
              </w:rPr>
            </w:pPr>
            <w:r w:rsidRPr="00F754F1">
              <w:rPr>
                <w:rFonts w:ascii="KG Primary Penmanship 2" w:hAnsi="KG Primary Penmanship 2"/>
                <w:sz w:val="24"/>
                <w:szCs w:val="20"/>
              </w:rPr>
              <w:t>Increasingly coordinates hand and eye movements to perform a variety of actions with increasing precision</w:t>
            </w:r>
          </w:p>
          <w:p w14:paraId="3F045896" w14:textId="74EE1614" w:rsidR="00DF4D2E" w:rsidRPr="00052D8C" w:rsidRDefault="00F754F1" w:rsidP="00DF4D2E">
            <w:pPr>
              <w:pStyle w:val="ListParagraph"/>
              <w:numPr>
                <w:ilvl w:val="0"/>
                <w:numId w:val="5"/>
              </w:numPr>
              <w:spacing w:after="0" w:line="240" w:lineRule="auto"/>
              <w:ind w:left="792"/>
              <w:rPr>
                <w:rFonts w:ascii="KG Primary Penmanship 2" w:hAnsi="KG Primary Penmanship 2"/>
                <w:sz w:val="24"/>
                <w:szCs w:val="20"/>
              </w:rPr>
            </w:pPr>
            <w:r w:rsidRPr="00052D8C">
              <w:rPr>
                <w:rFonts w:ascii="KG Primary Penmanship 2" w:hAnsi="KG Primary Penmanship 2"/>
                <w:sz w:val="24"/>
                <w:szCs w:val="20"/>
              </w:rPr>
              <w:t>Self Help Skill Focus</w:t>
            </w:r>
          </w:p>
        </w:tc>
        <w:tc>
          <w:tcPr>
            <w:tcW w:w="5580" w:type="dxa"/>
            <w:tcBorders>
              <w:top w:val="single" w:sz="4" w:space="0" w:color="auto"/>
            </w:tcBorders>
          </w:tcPr>
          <w:p w14:paraId="0DF5FCFA" w14:textId="0EA1AAEA" w:rsidR="00DF4D2E" w:rsidRPr="00052D8C" w:rsidRDefault="00F754F1" w:rsidP="00DF4D2E">
            <w:pPr>
              <w:rPr>
                <w:rFonts w:ascii="KG Primary Penmanship 2" w:hAnsi="KG Primary Penmanship 2"/>
                <w:szCs w:val="20"/>
              </w:rPr>
            </w:pPr>
            <w:r w:rsidRPr="00052D8C">
              <w:rPr>
                <w:rFonts w:ascii="KG Primary Penmanship 2" w:hAnsi="KG Primary Penmanship 2"/>
                <w:szCs w:val="20"/>
              </w:rPr>
              <w:t>Various types of lunch containers will be added to the sensory bins and dramatic play areas so the children can practice opening and closing them.</w:t>
            </w:r>
          </w:p>
        </w:tc>
        <w:tc>
          <w:tcPr>
            <w:tcW w:w="4541" w:type="dxa"/>
            <w:tcBorders>
              <w:top w:val="single" w:sz="4" w:space="0" w:color="auto"/>
            </w:tcBorders>
          </w:tcPr>
          <w:p w14:paraId="30F6AB22" w14:textId="44DC02C3" w:rsidR="00DF4D2E" w:rsidRPr="00052D8C" w:rsidRDefault="00F754F1" w:rsidP="00DF4D2E">
            <w:pPr>
              <w:ind w:left="288"/>
              <w:rPr>
                <w:rFonts w:ascii="KG Primary Penmanship 2" w:hAnsi="KG Primary Penmanship 2"/>
                <w:szCs w:val="20"/>
              </w:rPr>
            </w:pPr>
            <w:r w:rsidRPr="00052D8C">
              <w:rPr>
                <w:rFonts w:ascii="KG Primary Penmanship 2" w:hAnsi="KG Primary Penmanship 2"/>
                <w:szCs w:val="20"/>
              </w:rPr>
              <w:t xml:space="preserve">Practicing skills when they are not currently needed makes it a game.  The only way child learn self-help skills is through example and experience. For instance, practicing zipping and unzipping a lunch box while pretending to get ready for school.  Try giving your child some zip lock bags to fill up with small objects such as cars.  This way when they open it and all the cars come spilling </w:t>
            </w:r>
            <w:r w:rsidR="00052D8C" w:rsidRPr="00052D8C">
              <w:rPr>
                <w:rFonts w:ascii="KG Primary Penmanship 2" w:hAnsi="KG Primary Penmanship 2"/>
                <w:szCs w:val="20"/>
              </w:rPr>
              <w:t>out,</w:t>
            </w:r>
            <w:r w:rsidRPr="00052D8C">
              <w:rPr>
                <w:rFonts w:ascii="KG Primary Penmanship 2" w:hAnsi="KG Primary Penmanship 2"/>
                <w:szCs w:val="20"/>
              </w:rPr>
              <w:t xml:space="preserve"> they have not lost a bag of food. </w:t>
            </w:r>
          </w:p>
        </w:tc>
      </w:tr>
    </w:tbl>
    <w:p w14:paraId="7D810A8A" w14:textId="3DFC75C2"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DF4D2E">
        <w:rPr>
          <w:rFonts w:ascii="KG Primary Penmanship 2" w:hAnsi="KG Primary Penmanship 2"/>
          <w:sz w:val="28"/>
          <w:szCs w:val="28"/>
        </w:rPr>
        <w:t xml:space="preserve">Fruit of the Spirit is </w:t>
      </w:r>
      <w:r w:rsidR="00B922AF">
        <w:rPr>
          <w:rFonts w:ascii="KG Primary Penmanship 2" w:hAnsi="KG Primary Penmanship 2"/>
          <w:sz w:val="28"/>
          <w:szCs w:val="28"/>
        </w:rPr>
        <w:t>Faithfulness</w:t>
      </w:r>
      <w:r w:rsidR="00DF4D2E">
        <w:rPr>
          <w:rFonts w:ascii="KG Primary Penmanship 2" w:hAnsi="KG Primary Penmanship 2"/>
          <w:sz w:val="28"/>
          <w:szCs w:val="28"/>
        </w:rPr>
        <w:t>.</w:t>
      </w:r>
    </w:p>
    <w:sectPr w:rsidR="001D376D" w:rsidRPr="00A228C3" w:rsidSect="00A228C3">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AD473" w14:textId="77777777" w:rsidR="00E01677" w:rsidRDefault="00E01677" w:rsidP="00A228C3">
      <w:r>
        <w:separator/>
      </w:r>
    </w:p>
  </w:endnote>
  <w:endnote w:type="continuationSeparator" w:id="0">
    <w:p w14:paraId="0426ED2A" w14:textId="77777777" w:rsidR="00E01677" w:rsidRDefault="00E01677"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39F3" w14:textId="77777777" w:rsidR="00363A20" w:rsidRDefault="00363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61F7" w14:textId="77777777" w:rsidR="00363A20" w:rsidRDefault="00363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9079" w14:textId="77777777" w:rsidR="00363A20" w:rsidRDefault="0036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CAD3" w14:textId="77777777" w:rsidR="00E01677" w:rsidRDefault="00E01677" w:rsidP="00A228C3">
      <w:r>
        <w:separator/>
      </w:r>
    </w:p>
  </w:footnote>
  <w:footnote w:type="continuationSeparator" w:id="0">
    <w:p w14:paraId="2D86CB78" w14:textId="77777777" w:rsidR="00E01677" w:rsidRDefault="00E01677"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F8F1" w14:textId="77777777" w:rsidR="00363A20" w:rsidRDefault="0036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095A42AB" w:rsidR="00A228C3" w:rsidRPr="00A228C3" w:rsidRDefault="008C005C">
    <w:pPr>
      <w:pStyle w:val="Header"/>
      <w:rPr>
        <w:rFonts w:ascii="KG Primary Penmanship 2" w:hAnsi="KG Primary Penmanship 2"/>
        <w:sz w:val="32"/>
        <w:szCs w:val="32"/>
      </w:rPr>
    </w:pPr>
    <w:r>
      <w:rPr>
        <w:rFonts w:ascii="KG Primary Penmanship 2" w:hAnsi="KG Primary Penmanship 2"/>
        <w:sz w:val="32"/>
        <w:szCs w:val="32"/>
      </w:rPr>
      <w:t>P</w:t>
    </w:r>
    <w:r w:rsidR="00363A20">
      <w:rPr>
        <w:rFonts w:ascii="KG Primary Penmanship 2" w:hAnsi="KG Primary Penmanship 2"/>
        <w:sz w:val="32"/>
        <w:szCs w:val="32"/>
      </w:rPr>
      <w:t>reschool I</w:t>
    </w:r>
    <w:r>
      <w:rPr>
        <w:rFonts w:ascii="KG Primary Penmanship 2" w:hAnsi="KG Primary Penmanship 2"/>
        <w:sz w:val="32"/>
        <w:szCs w:val="32"/>
      </w:rPr>
      <w:tab/>
    </w:r>
    <w:r w:rsidRPr="008C005C">
      <w:rPr>
        <w:rFonts w:ascii="KG Primary Penmanship 2" w:hAnsi="KG Primary Penmanship 2"/>
        <w:sz w:val="32"/>
        <w:szCs w:val="32"/>
      </w:rPr>
      <w:ptab w:relativeTo="margin" w:alignment="center" w:leader="none"/>
    </w:r>
    <w:r>
      <w:rPr>
        <w:rFonts w:ascii="KG Primary Penmanship 2" w:hAnsi="KG Primary Penmanship 2"/>
        <w:sz w:val="32"/>
        <w:szCs w:val="32"/>
      </w:rPr>
      <w:t>Water Unit</w:t>
    </w:r>
    <w:r w:rsidRPr="008C005C">
      <w:rPr>
        <w:rFonts w:ascii="KG Primary Penmanship 2" w:hAnsi="KG Primary Penmanship 2"/>
        <w:sz w:val="32"/>
        <w:szCs w:val="32"/>
      </w:rPr>
      <w:ptab w:relativeTo="margin" w:alignment="right" w:leader="none"/>
    </w:r>
    <w:r w:rsidR="00363A20">
      <w:rPr>
        <w:rFonts w:ascii="KG Primary Penmanship 2" w:hAnsi="KG Primary Penmanship 2"/>
        <w:sz w:val="32"/>
        <w:szCs w:val="32"/>
      </w:rPr>
      <w:t xml:space="preserve">Week of </w:t>
    </w:r>
    <w:r>
      <w:rPr>
        <w:rFonts w:ascii="KG Primary Penmanship 2" w:hAnsi="KG Primary Penmanship 2"/>
        <w:sz w:val="32"/>
        <w:szCs w:val="32"/>
      </w:rPr>
      <w:t>July 12,</w:t>
    </w:r>
    <w:r w:rsidR="00120AF5">
      <w:rPr>
        <w:rFonts w:ascii="KG Primary Penmanship 2" w:hAnsi="KG Primary Penmanship 2"/>
        <w:sz w:val="32"/>
        <w:szCs w:val="32"/>
      </w:rPr>
      <w:t xml:space="preserve"> </w:t>
    </w:r>
    <w:r>
      <w:rPr>
        <w:rFonts w:ascii="KG Primary Penmanship 2" w:hAnsi="KG Primary Penmanship 2"/>
        <w:sz w:val="32"/>
        <w:szCs w:val="32"/>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3A7F" w14:textId="77777777" w:rsidR="00363A20" w:rsidRDefault="00363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7089"/>
    <w:multiLevelType w:val="hybridMultilevel"/>
    <w:tmpl w:val="0C3C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92ABD"/>
    <w:multiLevelType w:val="hybridMultilevel"/>
    <w:tmpl w:val="A68A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2D49AE"/>
    <w:multiLevelType w:val="hybridMultilevel"/>
    <w:tmpl w:val="9E3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52D8C"/>
    <w:rsid w:val="00120AF5"/>
    <w:rsid w:val="0012660D"/>
    <w:rsid w:val="001456BF"/>
    <w:rsid w:val="00194FD5"/>
    <w:rsid w:val="001A70F7"/>
    <w:rsid w:val="002B7E63"/>
    <w:rsid w:val="002C3E30"/>
    <w:rsid w:val="002C65F4"/>
    <w:rsid w:val="002D3EE0"/>
    <w:rsid w:val="00335951"/>
    <w:rsid w:val="003410B5"/>
    <w:rsid w:val="0035540B"/>
    <w:rsid w:val="00363A20"/>
    <w:rsid w:val="003E3C83"/>
    <w:rsid w:val="004F0F2E"/>
    <w:rsid w:val="004F35AD"/>
    <w:rsid w:val="004F7E82"/>
    <w:rsid w:val="005013F8"/>
    <w:rsid w:val="00540543"/>
    <w:rsid w:val="0058443C"/>
    <w:rsid w:val="005B4891"/>
    <w:rsid w:val="005D1E81"/>
    <w:rsid w:val="005E449D"/>
    <w:rsid w:val="005E7696"/>
    <w:rsid w:val="00642E79"/>
    <w:rsid w:val="00682CD2"/>
    <w:rsid w:val="00696520"/>
    <w:rsid w:val="006C61C1"/>
    <w:rsid w:val="006D6DC9"/>
    <w:rsid w:val="006F6201"/>
    <w:rsid w:val="007F613E"/>
    <w:rsid w:val="00877C46"/>
    <w:rsid w:val="008834D9"/>
    <w:rsid w:val="008C005C"/>
    <w:rsid w:val="008C2E1E"/>
    <w:rsid w:val="008F457D"/>
    <w:rsid w:val="008F6B3D"/>
    <w:rsid w:val="00934F14"/>
    <w:rsid w:val="009C2D01"/>
    <w:rsid w:val="009E6983"/>
    <w:rsid w:val="00A21CEE"/>
    <w:rsid w:val="00A228C3"/>
    <w:rsid w:val="00AD7E37"/>
    <w:rsid w:val="00AF145A"/>
    <w:rsid w:val="00B0677B"/>
    <w:rsid w:val="00B65EC2"/>
    <w:rsid w:val="00B72836"/>
    <w:rsid w:val="00B922AF"/>
    <w:rsid w:val="00BD316C"/>
    <w:rsid w:val="00C52B5A"/>
    <w:rsid w:val="00CA13CE"/>
    <w:rsid w:val="00DD6859"/>
    <w:rsid w:val="00DF4D2E"/>
    <w:rsid w:val="00E01677"/>
    <w:rsid w:val="00E07CED"/>
    <w:rsid w:val="00E539A3"/>
    <w:rsid w:val="00E7400E"/>
    <w:rsid w:val="00E93CD3"/>
    <w:rsid w:val="00EA0C0D"/>
    <w:rsid w:val="00EB047F"/>
    <w:rsid w:val="00EC5CAC"/>
    <w:rsid w:val="00EE4801"/>
    <w:rsid w:val="00F7312D"/>
    <w:rsid w:val="00F754F1"/>
    <w:rsid w:val="00FB2C83"/>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B922AF"/>
    <w:rPr>
      <w:color w:val="0563C1" w:themeColor="hyperlink"/>
      <w:u w:val="single"/>
    </w:rPr>
  </w:style>
  <w:style w:type="character" w:styleId="UnresolvedMention">
    <w:name w:val="Unresolved Mention"/>
    <w:basedOn w:val="DefaultParagraphFont"/>
    <w:uiPriority w:val="99"/>
    <w:semiHidden/>
    <w:unhideWhenUsed/>
    <w:rsid w:val="00B92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pKzhwOtMI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4</cp:revision>
  <cp:lastPrinted>2021-05-28T13:58:00Z</cp:lastPrinted>
  <dcterms:created xsi:type="dcterms:W3CDTF">2021-05-26T17:12:00Z</dcterms:created>
  <dcterms:modified xsi:type="dcterms:W3CDTF">2021-05-28T13:58:00Z</dcterms:modified>
</cp:coreProperties>
</file>