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76"/>
        <w:tblW w:w="14395" w:type="dxa"/>
        <w:tblLook w:val="04A0" w:firstRow="1" w:lastRow="0" w:firstColumn="1" w:lastColumn="0" w:noHBand="0" w:noVBand="1"/>
      </w:tblPr>
      <w:tblGrid>
        <w:gridCol w:w="5671"/>
        <w:gridCol w:w="4584"/>
        <w:gridCol w:w="4140"/>
      </w:tblGrid>
      <w:tr w:rsidR="00BA77FE" w14:paraId="565EB5EC" w14:textId="77777777" w:rsidTr="00AF605D">
        <w:tc>
          <w:tcPr>
            <w:tcW w:w="5671" w:type="dxa"/>
          </w:tcPr>
          <w:p w14:paraId="6C654087" w14:textId="77777777" w:rsidR="00E24235" w:rsidRPr="00E24235" w:rsidRDefault="00E24235" w:rsidP="00EB545F">
            <w:pPr>
              <w:jc w:val="center"/>
              <w:rPr>
                <w:b/>
                <w:bCs/>
                <w:sz w:val="28"/>
                <w:szCs w:val="28"/>
              </w:rPr>
            </w:pPr>
            <w:r w:rsidRPr="00E24235">
              <w:rPr>
                <w:b/>
                <w:bCs/>
                <w:sz w:val="28"/>
                <w:szCs w:val="28"/>
              </w:rPr>
              <w:t>Standard Focus</w:t>
            </w:r>
          </w:p>
        </w:tc>
        <w:tc>
          <w:tcPr>
            <w:tcW w:w="4584" w:type="dxa"/>
          </w:tcPr>
          <w:p w14:paraId="03695D34" w14:textId="77777777" w:rsidR="00E24235" w:rsidRPr="00E24235" w:rsidRDefault="00E24235" w:rsidP="00EB545F">
            <w:pPr>
              <w:jc w:val="center"/>
              <w:rPr>
                <w:b/>
                <w:bCs/>
                <w:sz w:val="28"/>
                <w:szCs w:val="28"/>
              </w:rPr>
            </w:pPr>
            <w:r w:rsidRPr="00E24235">
              <w:rPr>
                <w:b/>
                <w:bCs/>
                <w:sz w:val="28"/>
                <w:szCs w:val="28"/>
              </w:rPr>
              <w:t>Activity</w:t>
            </w:r>
          </w:p>
        </w:tc>
        <w:tc>
          <w:tcPr>
            <w:tcW w:w="4140" w:type="dxa"/>
          </w:tcPr>
          <w:p w14:paraId="7C294591" w14:textId="77777777" w:rsidR="00E24235" w:rsidRPr="00E24235" w:rsidRDefault="00E24235" w:rsidP="00EB545F">
            <w:pPr>
              <w:jc w:val="center"/>
              <w:rPr>
                <w:b/>
                <w:bCs/>
                <w:sz w:val="28"/>
                <w:szCs w:val="28"/>
              </w:rPr>
            </w:pPr>
            <w:r w:rsidRPr="00E24235">
              <w:rPr>
                <w:b/>
                <w:bCs/>
                <w:sz w:val="28"/>
                <w:szCs w:val="28"/>
              </w:rPr>
              <w:t>Home Extension Activity</w:t>
            </w:r>
          </w:p>
        </w:tc>
      </w:tr>
      <w:tr w:rsidR="00BA77FE" w14:paraId="3CE269C1" w14:textId="77777777" w:rsidTr="00AF605D">
        <w:trPr>
          <w:trHeight w:val="1982"/>
        </w:trPr>
        <w:tc>
          <w:tcPr>
            <w:tcW w:w="5671" w:type="dxa"/>
          </w:tcPr>
          <w:p w14:paraId="65123F31" w14:textId="77777777" w:rsidR="00AF605D" w:rsidRDefault="00AF605D" w:rsidP="00AF605D">
            <w:pPr>
              <w:rPr>
                <w:i/>
                <w:iCs/>
              </w:rPr>
            </w:pPr>
            <w:r w:rsidRPr="00AF605D">
              <w:rPr>
                <w:i/>
                <w:iCs/>
              </w:rPr>
              <w:t xml:space="preserve">I. Physical Development </w:t>
            </w:r>
          </w:p>
          <w:p w14:paraId="494C3E92" w14:textId="77777777" w:rsidR="00AF605D" w:rsidRDefault="00AF605D" w:rsidP="00AF605D">
            <w:pPr>
              <w:rPr>
                <w:i/>
                <w:iCs/>
              </w:rPr>
            </w:pPr>
            <w:r w:rsidRPr="00AF605D">
              <w:rPr>
                <w:i/>
                <w:iCs/>
              </w:rPr>
              <w:t xml:space="preserve">a. Active Physical Play </w:t>
            </w:r>
          </w:p>
          <w:p w14:paraId="7065F89B" w14:textId="080F2D5F" w:rsidR="00AF605D" w:rsidRPr="00AF605D" w:rsidRDefault="00AF605D" w:rsidP="00AF605D">
            <w:pPr>
              <w:rPr>
                <w:i/>
                <w:iCs/>
              </w:rPr>
            </w:pPr>
            <w:r w:rsidRPr="00AF605D">
              <w:rPr>
                <w:i/>
                <w:iCs/>
              </w:rPr>
              <w:t xml:space="preserve">1. Engages in physical activities with increasing balance, coordination, </w:t>
            </w:r>
            <w:proofErr w:type="gramStart"/>
            <w:r w:rsidRPr="00AF605D">
              <w:rPr>
                <w:i/>
                <w:iCs/>
              </w:rPr>
              <w:t>endurance</w:t>
            </w:r>
            <w:proofErr w:type="gramEnd"/>
            <w:r w:rsidRPr="00AF605D">
              <w:rPr>
                <w:i/>
                <w:iCs/>
              </w:rPr>
              <w:t xml:space="preserve"> and intensity</w:t>
            </w:r>
          </w:p>
          <w:p w14:paraId="12FF4062" w14:textId="77777777" w:rsidR="00AF605D" w:rsidRPr="00AF605D" w:rsidRDefault="00AF605D" w:rsidP="00AF605D">
            <w:pPr>
              <w:rPr>
                <w:i/>
                <w:iCs/>
              </w:rPr>
            </w:pPr>
            <w:r w:rsidRPr="00AF605D">
              <w:rPr>
                <w:i/>
                <w:iCs/>
              </w:rPr>
              <w:t>Benchmark a. Engages in active physical play for short periods of time</w:t>
            </w:r>
          </w:p>
          <w:p w14:paraId="0A760E75" w14:textId="70E1D8B1" w:rsidR="00BE0C75" w:rsidRPr="00C61CFD" w:rsidRDefault="00BE0C75" w:rsidP="00AF605D"/>
        </w:tc>
        <w:tc>
          <w:tcPr>
            <w:tcW w:w="4584" w:type="dxa"/>
          </w:tcPr>
          <w:p w14:paraId="6CB4E1A9" w14:textId="77777777" w:rsidR="00AF605D" w:rsidRPr="00AF605D" w:rsidRDefault="00AF605D" w:rsidP="00AF605D">
            <w:pPr>
              <w:rPr>
                <w:bCs/>
              </w:rPr>
            </w:pPr>
            <w:r w:rsidRPr="00AF605D">
              <w:rPr>
                <w:bCs/>
              </w:rPr>
              <w:t xml:space="preserve">Fine Motor – practice pincher grip by picking up green pipe cleaner “Caterpillars”, “frogs” and yellow “ducks” with clothes pins (various size green and yellow puff balls) place frogs on lily pads and ducks into nest in big to small order. </w:t>
            </w:r>
          </w:p>
          <w:p w14:paraId="6E154B4F" w14:textId="58C4A38A" w:rsidR="00C61CFD" w:rsidRPr="00AF605D" w:rsidRDefault="00C61CFD" w:rsidP="00EB545F">
            <w:pPr>
              <w:rPr>
                <w:bCs/>
              </w:rPr>
            </w:pPr>
          </w:p>
        </w:tc>
        <w:tc>
          <w:tcPr>
            <w:tcW w:w="4140" w:type="dxa"/>
          </w:tcPr>
          <w:p w14:paraId="41F7075E" w14:textId="4EDF19A8" w:rsidR="00C61CFD" w:rsidRPr="0064502C" w:rsidRDefault="00C61CFD" w:rsidP="001B0158">
            <w:r>
              <w:t xml:space="preserve"> </w:t>
            </w:r>
            <w:r w:rsidR="00AF605D">
              <w:t>You can repeat this activity at home by allowing your child to use clothes pins to pick up items</w:t>
            </w:r>
            <w:r w:rsidR="002A4B4B">
              <w:t xml:space="preserve"> around your house</w:t>
            </w:r>
            <w:proofErr w:type="gramStart"/>
            <w:r w:rsidR="002A4B4B">
              <w:t xml:space="preserve">. </w:t>
            </w:r>
            <w:proofErr w:type="gramEnd"/>
            <w:r w:rsidR="002A4B4B">
              <w:t>Make it challenging by only using green items</w:t>
            </w:r>
            <w:proofErr w:type="gramStart"/>
            <w:r w:rsidR="002A4B4B">
              <w:t xml:space="preserve">. </w:t>
            </w:r>
            <w:proofErr w:type="gramEnd"/>
          </w:p>
        </w:tc>
      </w:tr>
      <w:tr w:rsidR="00BA77FE" w14:paraId="16550388" w14:textId="77777777" w:rsidTr="00AF605D">
        <w:trPr>
          <w:trHeight w:val="1718"/>
        </w:trPr>
        <w:tc>
          <w:tcPr>
            <w:tcW w:w="5671" w:type="dxa"/>
          </w:tcPr>
          <w:p w14:paraId="26AAA15D" w14:textId="77777777" w:rsidR="00AF605D" w:rsidRDefault="00AF605D" w:rsidP="00AF605D">
            <w:pPr>
              <w:rPr>
                <w:bCs/>
                <w:i/>
                <w:iCs/>
              </w:rPr>
            </w:pPr>
            <w:r w:rsidRPr="00AF605D">
              <w:rPr>
                <w:bCs/>
                <w:i/>
                <w:iCs/>
              </w:rPr>
              <w:t xml:space="preserve">IV. Language and Literacy </w:t>
            </w:r>
          </w:p>
          <w:p w14:paraId="5C60F549" w14:textId="77777777" w:rsidR="00AF605D" w:rsidRDefault="00AF605D" w:rsidP="00AF605D">
            <w:pPr>
              <w:rPr>
                <w:bCs/>
                <w:i/>
                <w:iCs/>
              </w:rPr>
            </w:pPr>
            <w:r w:rsidRPr="00AF605D">
              <w:rPr>
                <w:bCs/>
                <w:i/>
                <w:iCs/>
              </w:rPr>
              <w:t xml:space="preserve">C. VOCABULARY </w:t>
            </w:r>
          </w:p>
          <w:p w14:paraId="1DBE9F42" w14:textId="7AFD2427" w:rsidR="00AF605D" w:rsidRPr="00AF605D" w:rsidRDefault="00AF605D" w:rsidP="00AF605D">
            <w:pPr>
              <w:rPr>
                <w:bCs/>
                <w:i/>
                <w:iCs/>
              </w:rPr>
            </w:pPr>
            <w:r w:rsidRPr="00AF605D">
              <w:rPr>
                <w:bCs/>
                <w:i/>
                <w:iCs/>
              </w:rPr>
              <w:t>1. Shows an understanding of words and their meanings (receptive)</w:t>
            </w:r>
          </w:p>
          <w:p w14:paraId="34F06F95" w14:textId="77777777" w:rsidR="00AF605D" w:rsidRPr="00AF605D" w:rsidRDefault="00AF605D" w:rsidP="00AF605D">
            <w:pPr>
              <w:rPr>
                <w:bCs/>
                <w:i/>
                <w:iCs/>
              </w:rPr>
            </w:pPr>
            <w:r w:rsidRPr="00AF605D">
              <w:rPr>
                <w:bCs/>
                <w:i/>
                <w:iCs/>
              </w:rPr>
              <w:t xml:space="preserve">Benchmark a. Responds appropriately to </w:t>
            </w:r>
            <w:proofErr w:type="gramStart"/>
            <w:r w:rsidRPr="00AF605D">
              <w:rPr>
                <w:bCs/>
                <w:i/>
                <w:iCs/>
              </w:rPr>
              <w:t>almost all</w:t>
            </w:r>
            <w:proofErr w:type="gramEnd"/>
            <w:r w:rsidRPr="00AF605D">
              <w:rPr>
                <w:bCs/>
                <w:i/>
                <w:iCs/>
              </w:rPr>
              <w:t xml:space="preserve"> adult speech including requests involving multiple steps</w:t>
            </w:r>
          </w:p>
          <w:p w14:paraId="4AA219BD" w14:textId="77777777" w:rsidR="00C61CFD" w:rsidRPr="00C61CFD" w:rsidRDefault="00C61CFD" w:rsidP="00C61CFD">
            <w:pPr>
              <w:rPr>
                <w:bCs/>
              </w:rPr>
            </w:pPr>
          </w:p>
          <w:p w14:paraId="54FFEB53" w14:textId="29E4406D" w:rsidR="00E24235" w:rsidRPr="0064502C" w:rsidRDefault="00E24235" w:rsidP="001B0158"/>
        </w:tc>
        <w:tc>
          <w:tcPr>
            <w:tcW w:w="4584" w:type="dxa"/>
          </w:tcPr>
          <w:p w14:paraId="416BDBCC" w14:textId="77777777" w:rsidR="00AF605D" w:rsidRPr="00AF605D" w:rsidRDefault="00AF605D" w:rsidP="00AF605D">
            <w:pPr>
              <w:rPr>
                <w:bCs/>
              </w:rPr>
            </w:pPr>
            <w:r w:rsidRPr="00AF605D">
              <w:rPr>
                <w:bCs/>
              </w:rPr>
              <w:t xml:space="preserve">Music and Movement: “Hop like a frog, wiggle like a worm” at the Pond Animals movement dance. </w:t>
            </w:r>
          </w:p>
          <w:p w14:paraId="78F3C3AA" w14:textId="5C8A51AA" w:rsidR="0025402E" w:rsidRPr="00AF605D" w:rsidRDefault="0025402E" w:rsidP="0064502C">
            <w:pPr>
              <w:rPr>
                <w:bCs/>
              </w:rPr>
            </w:pPr>
          </w:p>
        </w:tc>
        <w:tc>
          <w:tcPr>
            <w:tcW w:w="4140" w:type="dxa"/>
          </w:tcPr>
          <w:p w14:paraId="3AA63BE8" w14:textId="58180790" w:rsidR="00CB2963" w:rsidRPr="00CB2963" w:rsidRDefault="002A4B4B" w:rsidP="00CB2963">
            <w:r>
              <w:t xml:space="preserve">This is a great spontaneous game that can </w:t>
            </w:r>
            <w:proofErr w:type="gramStart"/>
            <w:r>
              <w:t>be played</w:t>
            </w:r>
            <w:proofErr w:type="gramEnd"/>
            <w:r>
              <w:t xml:space="preserve"> anywhere.  You can change out the animals and the movements as you go through the game.  Expect lots of giggles as you place</w:t>
            </w:r>
            <w:proofErr w:type="gramStart"/>
            <w:r>
              <w:t xml:space="preserve">. </w:t>
            </w:r>
            <w:proofErr w:type="gramEnd"/>
            <w:r>
              <w:t xml:space="preserve">You can extend the activity by adding animal sounds along with the movement.  Try to incorporate different words for movements such hop, wiggle, squirm, etc. </w:t>
            </w:r>
          </w:p>
        </w:tc>
      </w:tr>
      <w:tr w:rsidR="00BA77FE" w14:paraId="5EFFCEC6" w14:textId="77777777" w:rsidTr="00AF605D">
        <w:trPr>
          <w:trHeight w:val="2180"/>
        </w:trPr>
        <w:tc>
          <w:tcPr>
            <w:tcW w:w="5671" w:type="dxa"/>
          </w:tcPr>
          <w:p w14:paraId="7C84D73E" w14:textId="77777777" w:rsidR="00AF605D" w:rsidRDefault="00AF605D" w:rsidP="00AF605D">
            <w:pPr>
              <w:rPr>
                <w:i/>
                <w:iCs/>
              </w:rPr>
            </w:pPr>
            <w:r w:rsidRPr="00AF605D">
              <w:rPr>
                <w:i/>
                <w:iCs/>
              </w:rPr>
              <w:t xml:space="preserve">VII. Social Studies </w:t>
            </w:r>
          </w:p>
          <w:p w14:paraId="01C6BC6D" w14:textId="77777777" w:rsidR="00AF605D" w:rsidRDefault="00AF605D" w:rsidP="00AF605D">
            <w:pPr>
              <w:rPr>
                <w:i/>
                <w:iCs/>
              </w:rPr>
            </w:pPr>
            <w:r w:rsidRPr="00AF605D">
              <w:rPr>
                <w:i/>
                <w:iCs/>
              </w:rPr>
              <w:t xml:space="preserve">D. SPACES, PLACES AND ENVIRONMENTS </w:t>
            </w:r>
          </w:p>
          <w:p w14:paraId="360546D7" w14:textId="0F42691A" w:rsidR="00AF605D" w:rsidRPr="00AF605D" w:rsidRDefault="00AF605D" w:rsidP="00AF605D">
            <w:pPr>
              <w:rPr>
                <w:i/>
                <w:iCs/>
              </w:rPr>
            </w:pPr>
            <w:r w:rsidRPr="00AF605D">
              <w:rPr>
                <w:i/>
                <w:iCs/>
              </w:rPr>
              <w:t>3. Recognizes basic physical characteristics (e.g., landmarks or land features)</w:t>
            </w:r>
          </w:p>
          <w:p w14:paraId="5675407C" w14:textId="23E9C922" w:rsidR="00E24235" w:rsidRPr="00C61CFD" w:rsidRDefault="00E24235" w:rsidP="001B0158">
            <w:pPr>
              <w:rPr>
                <w:i/>
                <w:iCs/>
              </w:rPr>
            </w:pPr>
          </w:p>
        </w:tc>
        <w:tc>
          <w:tcPr>
            <w:tcW w:w="4584" w:type="dxa"/>
          </w:tcPr>
          <w:p w14:paraId="32D8BCB7" w14:textId="66BD5C77" w:rsidR="00AF605D" w:rsidRDefault="00AF605D" w:rsidP="00AF605D">
            <w:pPr>
              <w:rPr>
                <w:bCs/>
              </w:rPr>
            </w:pPr>
            <w:r w:rsidRPr="00AF605D">
              <w:rPr>
                <w:bCs/>
              </w:rPr>
              <w:t>Pond landmarks matching game: Lily pads, trees, cattails, meadow lane,</w:t>
            </w:r>
            <w:r w:rsidR="002A4B4B">
              <w:rPr>
                <w:bCs/>
              </w:rPr>
              <w:t xml:space="preserve"> and rocks.</w:t>
            </w:r>
          </w:p>
          <w:p w14:paraId="311CB760" w14:textId="46390182" w:rsidR="002A4B4B" w:rsidRDefault="002A4B4B" w:rsidP="00AF605D">
            <w:pPr>
              <w:rPr>
                <w:bCs/>
              </w:rPr>
            </w:pPr>
            <w:r>
              <w:rPr>
                <w:bCs/>
              </w:rPr>
              <w:t xml:space="preserve">We will make a landmark map of the playground then go on a landmark hunt together. </w:t>
            </w:r>
          </w:p>
          <w:p w14:paraId="13FBACD3" w14:textId="77777777" w:rsidR="002A4B4B" w:rsidRPr="00AF605D" w:rsidRDefault="002A4B4B" w:rsidP="00AF605D">
            <w:pPr>
              <w:rPr>
                <w:bCs/>
              </w:rPr>
            </w:pPr>
          </w:p>
          <w:p w14:paraId="6B37CB35" w14:textId="31E88FF1" w:rsidR="00C61CFD" w:rsidRPr="00AF605D" w:rsidRDefault="00C61CFD" w:rsidP="00C61CFD">
            <w:pPr>
              <w:rPr>
                <w:bCs/>
              </w:rPr>
            </w:pPr>
          </w:p>
        </w:tc>
        <w:tc>
          <w:tcPr>
            <w:tcW w:w="4140" w:type="dxa"/>
          </w:tcPr>
          <w:p w14:paraId="567B9B40" w14:textId="2ACADC25" w:rsidR="00F04D0A" w:rsidRPr="0064502C" w:rsidRDefault="002A4B4B" w:rsidP="00EB545F">
            <w:r>
              <w:t>While out on walks around your home with your child point out landmarks such as trees, fences, mailboxes, plants, and other landmarks.  Later make a map of the yard with your child and then go on landmark quest and see how many you find together</w:t>
            </w:r>
            <w:proofErr w:type="gramStart"/>
            <w:r>
              <w:t xml:space="preserve">. </w:t>
            </w:r>
            <w:proofErr w:type="gramEnd"/>
          </w:p>
        </w:tc>
      </w:tr>
    </w:tbl>
    <w:p w14:paraId="17B3346C" w14:textId="0B42D8C7" w:rsidR="00400466" w:rsidRDefault="00DB01E0" w:rsidP="00EC293F">
      <w:pPr>
        <w:rPr>
          <w:sz w:val="24"/>
          <w:szCs w:val="24"/>
        </w:rPr>
      </w:pPr>
      <w:r>
        <w:rPr>
          <w:sz w:val="24"/>
          <w:szCs w:val="24"/>
        </w:rPr>
        <w:t xml:space="preserve">Parent Resources: </w:t>
      </w:r>
      <w:r w:rsidR="002A4B4B">
        <w:rPr>
          <w:sz w:val="24"/>
          <w:szCs w:val="24"/>
        </w:rPr>
        <w:t xml:space="preserve"> Feed the Rainbow </w:t>
      </w:r>
      <w:r w:rsidR="00585190">
        <w:rPr>
          <w:sz w:val="24"/>
          <w:szCs w:val="24"/>
        </w:rPr>
        <w:t xml:space="preserve">- </w:t>
      </w:r>
      <w:hyperlink r:id="rId6" w:history="1">
        <w:r w:rsidR="00585190" w:rsidRPr="00EF183C">
          <w:rPr>
            <w:rStyle w:val="Hyperlink"/>
            <w:sz w:val="24"/>
            <w:szCs w:val="24"/>
          </w:rPr>
          <w:t>https://www.feedinglittles.com/blog/offer-the-rainbow</w:t>
        </w:r>
      </w:hyperlink>
    </w:p>
    <w:p w14:paraId="1E45D041" w14:textId="2C705776" w:rsidR="00585190" w:rsidRDefault="00585190" w:rsidP="00EC293F">
      <w:pPr>
        <w:rPr>
          <w:sz w:val="24"/>
          <w:szCs w:val="24"/>
        </w:rPr>
      </w:pPr>
      <w:r>
        <w:rPr>
          <w:sz w:val="24"/>
          <w:szCs w:val="24"/>
        </w:rPr>
        <w:t xml:space="preserve">Follow this link to find great nutritional information.  </w:t>
      </w:r>
    </w:p>
    <w:p w14:paraId="2C563ED1" w14:textId="77777777" w:rsidR="00DB01E0" w:rsidRPr="001B0158" w:rsidRDefault="00DB01E0" w:rsidP="00EC293F">
      <w:pPr>
        <w:rPr>
          <w:sz w:val="24"/>
          <w:szCs w:val="24"/>
        </w:rPr>
      </w:pPr>
    </w:p>
    <w:sectPr w:rsidR="00DB01E0" w:rsidRPr="001B0158" w:rsidSect="001B0158">
      <w:headerReference w:type="default" r:id="rId7"/>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9FF9D" w14:textId="77777777" w:rsidR="00BE46A1" w:rsidRDefault="00BE46A1" w:rsidP="00787B59">
      <w:pPr>
        <w:spacing w:after="0" w:line="240" w:lineRule="auto"/>
      </w:pPr>
      <w:r>
        <w:separator/>
      </w:r>
    </w:p>
  </w:endnote>
  <w:endnote w:type="continuationSeparator" w:id="0">
    <w:p w14:paraId="1E5C7D27" w14:textId="77777777" w:rsidR="00BE46A1" w:rsidRDefault="00BE46A1" w:rsidP="00787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FF029" w14:textId="77777777" w:rsidR="00BE46A1" w:rsidRDefault="00BE46A1" w:rsidP="00787B59">
      <w:pPr>
        <w:spacing w:after="0" w:line="240" w:lineRule="auto"/>
      </w:pPr>
      <w:r>
        <w:separator/>
      </w:r>
    </w:p>
  </w:footnote>
  <w:footnote w:type="continuationSeparator" w:id="0">
    <w:p w14:paraId="6EA94D5F" w14:textId="77777777" w:rsidR="00BE46A1" w:rsidRDefault="00BE46A1" w:rsidP="00787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663D3" w14:textId="57BB5FF3" w:rsidR="00787B59" w:rsidRPr="00787B59" w:rsidRDefault="00787B59" w:rsidP="00787B59">
    <w:pPr>
      <w:pStyle w:val="Header"/>
      <w:jc w:val="center"/>
      <w:rPr>
        <w:b/>
        <w:bCs/>
        <w:sz w:val="28"/>
        <w:szCs w:val="28"/>
      </w:rPr>
    </w:pPr>
    <w:r w:rsidRPr="00787B59">
      <w:rPr>
        <w:b/>
        <w:bCs/>
        <w:sz w:val="28"/>
        <w:szCs w:val="28"/>
      </w:rPr>
      <w:t>Cindie O’Quinn</w:t>
    </w:r>
    <w:r w:rsidRPr="00787B59">
      <w:rPr>
        <w:b/>
        <w:bCs/>
        <w:sz w:val="28"/>
        <w:szCs w:val="28"/>
      </w:rPr>
      <w:tab/>
      <w:t xml:space="preserve">                                      </w:t>
    </w:r>
    <w:r w:rsidRPr="00787B59">
      <w:rPr>
        <w:b/>
        <w:bCs/>
        <w:sz w:val="52"/>
        <w:szCs w:val="52"/>
      </w:rPr>
      <w:t xml:space="preserve">Weekly Peek </w:t>
    </w:r>
    <w:r w:rsidRPr="00787B59">
      <w:rPr>
        <w:b/>
        <w:bCs/>
        <w:sz w:val="28"/>
        <w:szCs w:val="28"/>
      </w:rPr>
      <w:tab/>
    </w:r>
    <w:r w:rsidRPr="00787B59">
      <w:rPr>
        <w:b/>
        <w:bCs/>
        <w:sz w:val="28"/>
        <w:szCs w:val="28"/>
      </w:rPr>
      <w:tab/>
      <w:t>2-Year-Old Room</w:t>
    </w:r>
  </w:p>
  <w:p w14:paraId="2FC8EBB6" w14:textId="6C649F56" w:rsidR="00787B59" w:rsidRPr="00787B59" w:rsidRDefault="0064403E" w:rsidP="0064403E">
    <w:pPr>
      <w:pStyle w:val="Header"/>
      <w:rPr>
        <w:b/>
        <w:bCs/>
        <w:sz w:val="28"/>
        <w:szCs w:val="28"/>
      </w:rPr>
    </w:pPr>
    <w:r>
      <w:rPr>
        <w:b/>
        <w:bCs/>
        <w:sz w:val="28"/>
        <w:szCs w:val="28"/>
      </w:rPr>
      <w:t xml:space="preserve">                   </w:t>
    </w:r>
    <w:r w:rsidR="00787B59" w:rsidRPr="00787B59">
      <w:rPr>
        <w:b/>
        <w:bCs/>
        <w:sz w:val="28"/>
        <w:szCs w:val="28"/>
      </w:rPr>
      <w:t>Life on Ear</w:t>
    </w:r>
    <w:r w:rsidR="00E24235">
      <w:rPr>
        <w:b/>
        <w:bCs/>
        <w:sz w:val="28"/>
        <w:szCs w:val="28"/>
      </w:rPr>
      <w:t>th/A</w:t>
    </w:r>
    <w:r w:rsidR="00787B59" w:rsidRPr="00787B59">
      <w:rPr>
        <w:b/>
        <w:bCs/>
        <w:sz w:val="28"/>
        <w:szCs w:val="28"/>
      </w:rPr>
      <w:t xml:space="preserve">t </w:t>
    </w:r>
    <w:r w:rsidR="00966E4E">
      <w:rPr>
        <w:b/>
        <w:bCs/>
        <w:sz w:val="28"/>
        <w:szCs w:val="28"/>
      </w:rPr>
      <w:t>t</w:t>
    </w:r>
    <w:r w:rsidR="00787B59" w:rsidRPr="00787B59">
      <w:rPr>
        <w:b/>
        <w:bCs/>
        <w:sz w:val="28"/>
        <w:szCs w:val="28"/>
      </w:rPr>
      <w:t>he Pond</w:t>
    </w:r>
    <w:r w:rsidR="00E24235">
      <w:rPr>
        <w:b/>
        <w:bCs/>
        <w:sz w:val="28"/>
        <w:szCs w:val="28"/>
      </w:rPr>
      <w:tab/>
    </w:r>
    <w:r w:rsidR="00965C51">
      <w:rPr>
        <w:b/>
        <w:bCs/>
        <w:sz w:val="28"/>
        <w:szCs w:val="28"/>
      </w:rPr>
      <w:t xml:space="preserve">                        </w:t>
    </w:r>
    <w:r w:rsidR="00AF605D">
      <w:rPr>
        <w:b/>
        <w:bCs/>
        <w:sz w:val="28"/>
        <w:szCs w:val="28"/>
      </w:rPr>
      <w:t>Tadpoles &amp; Frogs</w:t>
    </w:r>
    <w:r w:rsidR="00787B59" w:rsidRPr="00787B59">
      <w:rPr>
        <w:b/>
        <w:bCs/>
        <w:sz w:val="28"/>
        <w:szCs w:val="28"/>
      </w:rPr>
      <w:tab/>
    </w:r>
    <w:r w:rsidR="00787B59" w:rsidRPr="00787B59">
      <w:rPr>
        <w:b/>
        <w:bCs/>
        <w:sz w:val="28"/>
        <w:szCs w:val="28"/>
      </w:rPr>
      <w:tab/>
    </w:r>
    <w:r>
      <w:rPr>
        <w:b/>
        <w:bCs/>
        <w:sz w:val="28"/>
        <w:szCs w:val="28"/>
      </w:rPr>
      <w:t xml:space="preserve">                   </w:t>
    </w:r>
    <w:r w:rsidR="00E24235">
      <w:rPr>
        <w:b/>
        <w:bCs/>
        <w:sz w:val="28"/>
        <w:szCs w:val="28"/>
      </w:rPr>
      <w:t xml:space="preserve"> </w:t>
    </w:r>
    <w:r>
      <w:rPr>
        <w:b/>
        <w:bCs/>
        <w:sz w:val="28"/>
        <w:szCs w:val="28"/>
      </w:rPr>
      <w:t xml:space="preserve">May </w:t>
    </w:r>
    <w:r w:rsidR="00AF605D">
      <w:rPr>
        <w:b/>
        <w:bCs/>
        <w:sz w:val="28"/>
        <w:szCs w:val="28"/>
      </w:rPr>
      <w:t>10-14,</w:t>
    </w:r>
    <w:r w:rsidR="00787B59" w:rsidRPr="00787B59">
      <w:rPr>
        <w:b/>
        <w:bCs/>
        <w:sz w:val="28"/>
        <w:szCs w:val="28"/>
      </w:rPr>
      <w:t xml:space="preserve"> 2021</w:t>
    </w:r>
  </w:p>
  <w:p w14:paraId="2E90E5F0" w14:textId="77777777" w:rsidR="00787B59" w:rsidRDefault="00787B59" w:rsidP="00787B59">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59"/>
    <w:rsid w:val="0009308C"/>
    <w:rsid w:val="000D2A92"/>
    <w:rsid w:val="001B0158"/>
    <w:rsid w:val="001F3358"/>
    <w:rsid w:val="00205E85"/>
    <w:rsid w:val="0025402E"/>
    <w:rsid w:val="002A4B4B"/>
    <w:rsid w:val="002F5B1C"/>
    <w:rsid w:val="00370D99"/>
    <w:rsid w:val="00400466"/>
    <w:rsid w:val="004175C4"/>
    <w:rsid w:val="0053043D"/>
    <w:rsid w:val="00585190"/>
    <w:rsid w:val="005E0EF1"/>
    <w:rsid w:val="0064403E"/>
    <w:rsid w:val="0064502C"/>
    <w:rsid w:val="00737F69"/>
    <w:rsid w:val="00787B59"/>
    <w:rsid w:val="009329EC"/>
    <w:rsid w:val="00965C51"/>
    <w:rsid w:val="00966E4E"/>
    <w:rsid w:val="009E4EF8"/>
    <w:rsid w:val="00A50D23"/>
    <w:rsid w:val="00AF605D"/>
    <w:rsid w:val="00BA77FE"/>
    <w:rsid w:val="00BE0C75"/>
    <w:rsid w:val="00BE46A1"/>
    <w:rsid w:val="00C61CFD"/>
    <w:rsid w:val="00CB2963"/>
    <w:rsid w:val="00D72336"/>
    <w:rsid w:val="00D73CE7"/>
    <w:rsid w:val="00DB01E0"/>
    <w:rsid w:val="00E2160D"/>
    <w:rsid w:val="00E24235"/>
    <w:rsid w:val="00EB545F"/>
    <w:rsid w:val="00EB77B4"/>
    <w:rsid w:val="00EC293F"/>
    <w:rsid w:val="00F04D0A"/>
    <w:rsid w:val="00F24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D5F4B"/>
  <w15:chartTrackingRefBased/>
  <w15:docId w15:val="{0357A06C-4E1D-42D1-BAA6-2E9C586E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B59"/>
  </w:style>
  <w:style w:type="paragraph" w:styleId="Footer">
    <w:name w:val="footer"/>
    <w:basedOn w:val="Normal"/>
    <w:link w:val="FooterChar"/>
    <w:uiPriority w:val="99"/>
    <w:unhideWhenUsed/>
    <w:rsid w:val="00787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B59"/>
  </w:style>
  <w:style w:type="table" w:styleId="TableGrid">
    <w:name w:val="Table Grid"/>
    <w:basedOn w:val="TableNormal"/>
    <w:uiPriority w:val="39"/>
    <w:rsid w:val="00787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235"/>
    <w:rPr>
      <w:color w:val="0563C1" w:themeColor="hyperlink"/>
      <w:u w:val="single"/>
    </w:rPr>
  </w:style>
  <w:style w:type="character" w:styleId="UnresolvedMention">
    <w:name w:val="Unresolved Mention"/>
    <w:basedOn w:val="DefaultParagraphFont"/>
    <w:uiPriority w:val="99"/>
    <w:semiHidden/>
    <w:unhideWhenUsed/>
    <w:rsid w:val="00E24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eedinglittles.com/blog/offer-the-rainbo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Sacred Heart Early Childhood Center</dc:creator>
  <cp:keywords/>
  <dc:description/>
  <cp:lastModifiedBy>Sacred Heart Early Childhood Center</cp:lastModifiedBy>
  <cp:revision>2</cp:revision>
  <dcterms:created xsi:type="dcterms:W3CDTF">2021-03-30T17:58:00Z</dcterms:created>
  <dcterms:modified xsi:type="dcterms:W3CDTF">2021-03-30T17:58:00Z</dcterms:modified>
</cp:coreProperties>
</file>