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CB50" w14:textId="225FC156" w:rsidR="00835773" w:rsidRDefault="00F625B7">
      <w:pPr>
        <w:rPr>
          <w:rFonts w:ascii="Calibri" w:eastAsia="Calibri" w:hAnsi="Calibri" w:cs="Calibr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2AA7590" wp14:editId="77A9CC4B">
            <wp:simplePos x="0" y="0"/>
            <wp:positionH relativeFrom="column">
              <wp:posOffset>8079286</wp:posOffset>
            </wp:positionH>
            <wp:positionV relativeFrom="paragraph">
              <wp:posOffset>0</wp:posOffset>
            </wp:positionV>
            <wp:extent cx="922020" cy="1123315"/>
            <wp:effectExtent l="0" t="0" r="5080" b="0"/>
            <wp:wrapSquare wrapText="bothSides" distT="0" distB="0" distL="114300" distR="114300"/>
            <wp:docPr id="2" name="image1.png" descr="Memorable Suggestions Giraffe Clip Art 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emorable Suggestions Giraffe Clip Art 2019"/>
                    <pic:cNvPicPr preferRelativeResize="0"/>
                  </pic:nvPicPr>
                  <pic:blipFill>
                    <a:blip r:embed="rId6"/>
                    <a:srcRect r="17897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123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097836C" wp14:editId="653ABFFF">
            <wp:simplePos x="0" y="0"/>
            <wp:positionH relativeFrom="column">
              <wp:posOffset>9162</wp:posOffset>
            </wp:positionH>
            <wp:positionV relativeFrom="paragraph">
              <wp:posOffset>0</wp:posOffset>
            </wp:positionV>
            <wp:extent cx="922020" cy="1123315"/>
            <wp:effectExtent l="0" t="0" r="0" b="0"/>
            <wp:wrapSquare wrapText="bothSides" distT="0" distB="0" distL="114300" distR="114300"/>
            <wp:docPr id="1" name="image1.png" descr="Memorable Suggestions Giraffe Clip Art 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emorable Suggestions Giraffe Clip Art 2019"/>
                    <pic:cNvPicPr preferRelativeResize="0"/>
                  </pic:nvPicPr>
                  <pic:blipFill>
                    <a:blip r:embed="rId6"/>
                    <a:srcRect r="1789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2020" cy="1123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94D2A">
        <w:rPr>
          <w:rFonts w:ascii="Calibri" w:eastAsia="Calibri" w:hAnsi="Calibri" w:cs="Calibri"/>
          <w:b/>
          <w:sz w:val="72"/>
          <w:szCs w:val="72"/>
        </w:rPr>
        <w:t xml:space="preserve">                    P</w:t>
      </w:r>
      <w:r w:rsidR="00994D2A">
        <w:rPr>
          <w:rFonts w:ascii="Calibri" w:eastAsia="Calibri" w:hAnsi="Calibri" w:cs="Calibri"/>
          <w:b/>
          <w:sz w:val="56"/>
          <w:szCs w:val="56"/>
        </w:rPr>
        <w:t>eek at Our Week</w:t>
      </w:r>
    </w:p>
    <w:p w14:paraId="69597BD3" w14:textId="77777777" w:rsidR="00835773" w:rsidRDefault="00835773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tbl>
      <w:tblPr>
        <w:tblStyle w:val="a"/>
        <w:tblW w:w="14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5"/>
        <w:gridCol w:w="4050"/>
        <w:gridCol w:w="6341"/>
      </w:tblGrid>
      <w:tr w:rsidR="00835773" w14:paraId="0382DCE2" w14:textId="77777777" w:rsidTr="00F625B7">
        <w:trPr>
          <w:trHeight w:val="647"/>
        </w:trPr>
        <w:tc>
          <w:tcPr>
            <w:tcW w:w="3865" w:type="dxa"/>
            <w:vAlign w:val="center"/>
          </w:tcPr>
          <w:p w14:paraId="28F03D99" w14:textId="77777777" w:rsidR="00835773" w:rsidRDefault="00994D2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Standard Focus</w:t>
            </w:r>
          </w:p>
        </w:tc>
        <w:tc>
          <w:tcPr>
            <w:tcW w:w="4050" w:type="dxa"/>
            <w:vAlign w:val="center"/>
          </w:tcPr>
          <w:p w14:paraId="2377D84C" w14:textId="77777777" w:rsidR="00835773" w:rsidRDefault="00994D2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Activity</w:t>
            </w:r>
          </w:p>
        </w:tc>
        <w:tc>
          <w:tcPr>
            <w:tcW w:w="6341" w:type="dxa"/>
            <w:vAlign w:val="center"/>
          </w:tcPr>
          <w:p w14:paraId="47B19A8D" w14:textId="77777777" w:rsidR="00835773" w:rsidRDefault="00994D2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Home Extension Activity</w:t>
            </w:r>
          </w:p>
        </w:tc>
      </w:tr>
      <w:tr w:rsidR="00835773" w14:paraId="6C090ECC" w14:textId="77777777" w:rsidTr="00F625B7">
        <w:trPr>
          <w:trHeight w:val="2016"/>
        </w:trPr>
        <w:tc>
          <w:tcPr>
            <w:tcW w:w="3865" w:type="dxa"/>
          </w:tcPr>
          <w:p w14:paraId="4E606C6B" w14:textId="77777777" w:rsidR="00835773" w:rsidRDefault="00994D2A" w:rsidP="00F625B7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lnxbz9" w:colFirst="0" w:colLast="0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VI. Scientific Inquiry</w:t>
            </w:r>
          </w:p>
          <w:p w14:paraId="642C260D" w14:textId="77777777" w:rsidR="00835773" w:rsidRDefault="00994D2A" w:rsidP="00F625B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B. LIFE SCIENCE</w:t>
            </w:r>
          </w:p>
          <w:p w14:paraId="3DE3910F" w14:textId="77777777" w:rsidR="00835773" w:rsidRDefault="00994D2A" w:rsidP="00F625B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Understands that all living things grow, change and go through life cycles</w:t>
            </w:r>
          </w:p>
          <w:p w14:paraId="5E40B906" w14:textId="77777777" w:rsidR="00835773" w:rsidRDefault="00835773" w:rsidP="00F625B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070D71" w14:textId="77777777" w:rsidR="00835773" w:rsidRDefault="00835773" w:rsidP="00F625B7"/>
        </w:tc>
        <w:tc>
          <w:tcPr>
            <w:tcW w:w="4050" w:type="dxa"/>
          </w:tcPr>
          <w:p w14:paraId="4D9BA854" w14:textId="77777777" w:rsidR="00835773" w:rsidRDefault="00994D2A" w:rsidP="00F625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children will have life cycle cards that they can put into order for the cycle of each of the two turtles which are sea turtles and gopher turtles.</w:t>
            </w:r>
          </w:p>
        </w:tc>
        <w:tc>
          <w:tcPr>
            <w:tcW w:w="6341" w:type="dxa"/>
          </w:tcPr>
          <w:p w14:paraId="67957727" w14:textId="0DFDB8D1" w:rsidR="00835773" w:rsidRDefault="00994D2A" w:rsidP="00F625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Life cycle </w:t>
            </w:r>
            <w:r w:rsidR="00F625B7">
              <w:rPr>
                <w:rFonts w:ascii="Calibri" w:eastAsia="Calibri" w:hAnsi="Calibri" w:cs="Calibri"/>
                <w:sz w:val="24"/>
                <w:szCs w:val="24"/>
              </w:rPr>
              <w:t xml:space="preserve">and interesting facts about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both the sea turtle and the gopher turtle </w:t>
            </w:r>
            <w:r w:rsidR="00F625B7"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attached</w:t>
            </w:r>
            <w:r w:rsidR="00F625B7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F625B7">
              <w:rPr>
                <w:rFonts w:ascii="Calibri" w:eastAsia="Calibri" w:hAnsi="Calibri" w:cs="Calibri"/>
                <w:sz w:val="24"/>
                <w:szCs w:val="24"/>
              </w:rPr>
              <w:t>Have fun learning more about these turtles at home.</w:t>
            </w:r>
          </w:p>
        </w:tc>
      </w:tr>
      <w:tr w:rsidR="00835773" w14:paraId="151225FD" w14:textId="77777777" w:rsidTr="00F625B7">
        <w:trPr>
          <w:trHeight w:val="2393"/>
        </w:trPr>
        <w:tc>
          <w:tcPr>
            <w:tcW w:w="3865" w:type="dxa"/>
          </w:tcPr>
          <w:p w14:paraId="32899D13" w14:textId="77777777" w:rsidR="00835773" w:rsidRDefault="00994D2A" w:rsidP="00F625B7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VI. Scientific Inquiry</w:t>
            </w:r>
          </w:p>
          <w:p w14:paraId="645BAA35" w14:textId="77777777" w:rsidR="00835773" w:rsidRDefault="00994D2A" w:rsidP="00F625B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B. LIFE SCIENCE</w:t>
            </w:r>
          </w:p>
          <w:p w14:paraId="57DB70A3" w14:textId="77777777" w:rsidR="00835773" w:rsidRDefault="00994D2A" w:rsidP="00F625B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Notices the similarities and differences among various living things</w:t>
            </w:r>
          </w:p>
          <w:p w14:paraId="187D06DE" w14:textId="77777777" w:rsidR="00835773" w:rsidRDefault="00835773" w:rsidP="00F625B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F7D2A79" w14:textId="77777777" w:rsidR="00835773" w:rsidRDefault="00994D2A" w:rsidP="00F625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be discussing the similarities and differences between a sea turtle and a gopher turtle.  We will be making a chart of what we think are similar and the differences between the two types of turtles.</w:t>
            </w:r>
          </w:p>
        </w:tc>
        <w:tc>
          <w:tcPr>
            <w:tcW w:w="6341" w:type="dxa"/>
          </w:tcPr>
          <w:p w14:paraId="4FD323CC" w14:textId="77777777" w:rsidR="00835773" w:rsidRDefault="00994D2A" w:rsidP="00F625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Take a look at a sea turtle live cam. </w:t>
            </w:r>
            <w:hyperlink r:id="rId7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https://marinelife.org/seaturtles/rehab/turtlecam/</w:t>
              </w:r>
            </w:hyperlink>
          </w:p>
          <w:p w14:paraId="721119A8" w14:textId="77777777" w:rsidR="00835773" w:rsidRDefault="00835773" w:rsidP="00F625B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35773" w14:paraId="1C418C56" w14:textId="77777777" w:rsidTr="00F625B7">
        <w:trPr>
          <w:trHeight w:val="2016"/>
        </w:trPr>
        <w:tc>
          <w:tcPr>
            <w:tcW w:w="3865" w:type="dxa"/>
          </w:tcPr>
          <w:p w14:paraId="74481A5F" w14:textId="77777777" w:rsidR="00835773" w:rsidRDefault="00994D2A" w:rsidP="00F625B7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z337ya" w:colFirst="0" w:colLast="0"/>
            <w:bookmarkEnd w:id="1"/>
            <w:r>
              <w:rPr>
                <w:rFonts w:ascii="Calibri" w:eastAsia="Calibri" w:hAnsi="Calibri" w:cs="Calibri"/>
                <w:sz w:val="24"/>
                <w:szCs w:val="24"/>
              </w:rPr>
              <w:t>VIII. Creative Expression Through the Arts</w:t>
            </w:r>
          </w:p>
          <w:p w14:paraId="0D28A8F3" w14:textId="77777777" w:rsidR="00835773" w:rsidRDefault="00994D2A" w:rsidP="00F625B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 SENSORY ART EXPERIENCE</w:t>
            </w:r>
          </w:p>
          <w:p w14:paraId="7623BBB7" w14:textId="09117897" w:rsidR="00835773" w:rsidRPr="00F625B7" w:rsidRDefault="00994D2A" w:rsidP="00F625B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Combines with intention a variety of open-ended, process-oriented and diverse art materials</w:t>
            </w:r>
          </w:p>
        </w:tc>
        <w:tc>
          <w:tcPr>
            <w:tcW w:w="4050" w:type="dxa"/>
          </w:tcPr>
          <w:p w14:paraId="53E5517E" w14:textId="20A7DBC2" w:rsidR="00835773" w:rsidRDefault="00994D2A" w:rsidP="00F625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 child will be making a floating sea turtle.  We will be using green craft foam, fruit cup containers, paint, and glue.  Once we have our turtles</w:t>
            </w:r>
            <w:r w:rsidR="005B4EC9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made we will put the turtles in the water table to watch them float.</w:t>
            </w:r>
          </w:p>
        </w:tc>
        <w:tc>
          <w:tcPr>
            <w:tcW w:w="6341" w:type="dxa"/>
          </w:tcPr>
          <w:p w14:paraId="46C55B04" w14:textId="610A75DF" w:rsidR="00F625B7" w:rsidRPr="00F625B7" w:rsidRDefault="00F625B7" w:rsidP="00F625B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 wp14:anchorId="7963C8FF" wp14:editId="05423FCA">
                  <wp:extent cx="2233749" cy="1534962"/>
                  <wp:effectExtent l="0" t="0" r="190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629" cy="159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 wp14:anchorId="3AB9D5FB" wp14:editId="1651A19B">
                  <wp:extent cx="4051365" cy="4519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392" cy="46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FD8301" w14:textId="77777777" w:rsidR="00835773" w:rsidRDefault="00835773"/>
    <w:sectPr w:rsidR="00835773" w:rsidSect="00F625B7">
      <w:headerReference w:type="default" r:id="rId10"/>
      <w:pgSz w:w="15840" w:h="12240" w:orient="landscape"/>
      <w:pgMar w:top="432" w:right="720" w:bottom="432" w:left="720" w:header="720" w:footer="720" w:gutter="0"/>
      <w:pgNumType w:start="1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612F4" w14:textId="77777777" w:rsidR="00B24E88" w:rsidRDefault="00B24E88">
      <w:r>
        <w:separator/>
      </w:r>
    </w:p>
  </w:endnote>
  <w:endnote w:type="continuationSeparator" w:id="0">
    <w:p w14:paraId="66CD6B23" w14:textId="77777777" w:rsidR="00B24E88" w:rsidRDefault="00B2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97B4" w14:textId="77777777" w:rsidR="00B24E88" w:rsidRDefault="00B24E88">
      <w:r>
        <w:separator/>
      </w:r>
    </w:p>
  </w:footnote>
  <w:footnote w:type="continuationSeparator" w:id="0">
    <w:p w14:paraId="63E6371A" w14:textId="77777777" w:rsidR="00B24E88" w:rsidRDefault="00B2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CA18E" w14:textId="2B261073" w:rsidR="00835773" w:rsidRDefault="00994D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t>VPK</w:t>
    </w:r>
    <w:r>
      <w:rPr>
        <w:color w:val="000000"/>
      </w:rPr>
      <w:t xml:space="preserve"> – Miss Katie          </w:t>
    </w:r>
    <w:r w:rsidR="00F625B7">
      <w:rPr>
        <w:color w:val="000000"/>
      </w:rPr>
      <w:t xml:space="preserve">         </w:t>
    </w:r>
    <w:r>
      <w:rPr>
        <w:color w:val="000000"/>
      </w:rPr>
      <w:t xml:space="preserve">  Week of May 17-May 21, 2021</w:t>
    </w:r>
    <w:r w:rsidR="00F625B7">
      <w:rPr>
        <w:color w:val="000000"/>
      </w:rPr>
      <w:t xml:space="preserve">                                        </w:t>
    </w:r>
    <w:r>
      <w:rPr>
        <w:color w:val="000000"/>
      </w:rPr>
      <w:t>Life on Earth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73"/>
    <w:rsid w:val="00174F06"/>
    <w:rsid w:val="002F2D26"/>
    <w:rsid w:val="005B4EC9"/>
    <w:rsid w:val="00835773"/>
    <w:rsid w:val="00994D2A"/>
    <w:rsid w:val="00B24E88"/>
    <w:rsid w:val="00F6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6B5FB"/>
  <w15:docId w15:val="{BB8CA9F4-BC7A-9545-8B39-5B7043CD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="KG Primary Penmanship 2" w:hAnsi="KG Primary Penmanship 2" w:cs="KG Primary Penmanship 2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62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5B7"/>
  </w:style>
  <w:style w:type="paragraph" w:styleId="Footer">
    <w:name w:val="footer"/>
    <w:basedOn w:val="Normal"/>
    <w:link w:val="FooterChar"/>
    <w:uiPriority w:val="99"/>
    <w:unhideWhenUsed/>
    <w:rsid w:val="00F62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marinelife.org/seaturtles/rehab/turtleca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Batson Wilson</cp:lastModifiedBy>
  <cp:revision>2</cp:revision>
  <dcterms:created xsi:type="dcterms:W3CDTF">2021-05-09T13:44:00Z</dcterms:created>
  <dcterms:modified xsi:type="dcterms:W3CDTF">2021-05-09T13:44:00Z</dcterms:modified>
</cp:coreProperties>
</file>