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5C7178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5C7178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76F5B984" w14:textId="77777777" w:rsidR="008D44E5" w:rsidRPr="00F87FE6" w:rsidRDefault="008D44E5" w:rsidP="008D44E5">
            <w:pPr>
              <w:rPr>
                <w:sz w:val="24"/>
              </w:rPr>
            </w:pPr>
            <w:r w:rsidRPr="00F87FE6">
              <w:rPr>
                <w:sz w:val="24"/>
              </w:rPr>
              <w:t>Uses hand-eye coordination to manipulate objects and materials (e.g., completing large-piece puzzles or threading beads with large holes, begins to use scissors)</w:t>
            </w:r>
          </w:p>
          <w:p w14:paraId="07A38F90" w14:textId="212BDBC2" w:rsidR="00894B88" w:rsidRPr="00F87FE6" w:rsidRDefault="00894B88" w:rsidP="00894B88">
            <w:pPr>
              <w:rPr>
                <w:sz w:val="24"/>
              </w:rPr>
            </w:pPr>
          </w:p>
          <w:p w14:paraId="35CE5B39" w14:textId="77777777" w:rsidR="00A61FAC" w:rsidRPr="00F87FE6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40E08EBB" w14:textId="0E5D29F1" w:rsidR="008D44E5" w:rsidRPr="00F87FE6" w:rsidRDefault="008D44E5" w:rsidP="008D44E5">
            <w:pPr>
              <w:rPr>
                <w:sz w:val="24"/>
              </w:rPr>
            </w:pPr>
            <w:r w:rsidRPr="00F87FE6">
              <w:rPr>
                <w:sz w:val="24"/>
              </w:rPr>
              <w:t>Life Cycle of Ladybug pattern tracing</w:t>
            </w:r>
          </w:p>
          <w:p w14:paraId="766AFD6E" w14:textId="03AD6C42" w:rsidR="00526327" w:rsidRPr="00F87FE6" w:rsidRDefault="00526327" w:rsidP="005C7178">
            <w:pPr>
              <w:jc w:val="center"/>
              <w:rPr>
                <w:sz w:val="24"/>
              </w:rPr>
            </w:pPr>
            <w:r w:rsidRPr="00F87FE6">
              <w:rPr>
                <w:sz w:val="24"/>
              </w:rPr>
              <w:fldChar w:fldCharType="begin"/>
            </w:r>
            <w:r w:rsidRPr="00F87FE6">
              <w:rPr>
                <w:sz w:val="24"/>
              </w:rPr>
              <w:instrText xml:space="preserve"> INCLUDEPICTURE "/var/folders/x3/fc6l08g57bb2ct737l8y57h80000gn/T/com.microsoft.Word/WebArchiveCopyPasteTempFiles/141280307-funny-ladybugs-handwriting-practice-sheet-educational-children-game-tracing-lines-for-kids-and-toddl.jpg" \* MERGEFORMATINET </w:instrText>
            </w:r>
            <w:r w:rsidRPr="00F87FE6">
              <w:rPr>
                <w:sz w:val="24"/>
              </w:rPr>
              <w:fldChar w:fldCharType="separate"/>
            </w:r>
            <w:r w:rsidRPr="00F87FE6">
              <w:rPr>
                <w:noProof/>
                <w:sz w:val="24"/>
              </w:rPr>
              <w:drawing>
                <wp:inline distT="0" distB="0" distL="0" distR="0" wp14:anchorId="21E557EE" wp14:editId="13B7EF4E">
                  <wp:extent cx="1560969" cy="1188720"/>
                  <wp:effectExtent l="0" t="0" r="1270" b="5080"/>
                  <wp:docPr id="2" name="Picture 2" descr="Funny Ladybugs. Handwriting Practice Sheet. Educational Children.. Royalty  Free Cliparts, Vectors, And Stock Illustration. Image 14128030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ny Ladybugs. Handwriting Practice Sheet. Educational Children.. Royalty  Free Cliparts, Vectors, And Stock Illustration. Image 14128030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69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FE6">
              <w:rPr>
                <w:sz w:val="24"/>
              </w:rPr>
              <w:fldChar w:fldCharType="end"/>
            </w:r>
          </w:p>
          <w:p w14:paraId="3320D72D" w14:textId="77777777" w:rsidR="008D44E5" w:rsidRPr="00F87FE6" w:rsidRDefault="008D44E5" w:rsidP="008D44E5">
            <w:pPr>
              <w:rPr>
                <w:sz w:val="24"/>
              </w:rPr>
            </w:pPr>
            <w:r w:rsidRPr="00F87FE6">
              <w:rPr>
                <w:sz w:val="24"/>
              </w:rPr>
              <w:t>The children will use small beads and place them one at a time on the dotted line until complete.</w:t>
            </w:r>
          </w:p>
          <w:p w14:paraId="488E5C78" w14:textId="30761A96" w:rsidR="00A61FAC" w:rsidRPr="00F87FE6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187E3B5E" w14:textId="44CD4339" w:rsidR="00A61FAC" w:rsidRPr="00F87FE6" w:rsidRDefault="005C7178" w:rsidP="000C0E8B">
            <w:pPr>
              <w:rPr>
                <w:sz w:val="24"/>
              </w:rPr>
            </w:pPr>
            <w:r w:rsidRPr="00F87FE6">
              <w:rPr>
                <w:sz w:val="24"/>
              </w:rPr>
              <w:t>I have attached a copy</w:t>
            </w:r>
            <w:r w:rsidR="00B33DA3" w:rsidRPr="00F87FE6">
              <w:rPr>
                <w:sz w:val="24"/>
              </w:rPr>
              <w:t xml:space="preserve"> of the </w:t>
            </w:r>
            <w:r w:rsidR="00BC5B8F" w:rsidRPr="00F87FE6">
              <w:rPr>
                <w:sz w:val="24"/>
              </w:rPr>
              <w:t>tracing template we’ve used in class. Find small items</w:t>
            </w:r>
            <w:r w:rsidR="00782BB5" w:rsidRPr="00F87FE6">
              <w:rPr>
                <w:sz w:val="24"/>
              </w:rPr>
              <w:t xml:space="preserve"> around the house, such as beans or </w:t>
            </w:r>
            <w:r w:rsidR="00D04DD1" w:rsidRPr="00F87FE6">
              <w:rPr>
                <w:sz w:val="24"/>
              </w:rPr>
              <w:t xml:space="preserve">cheerios and have your child </w:t>
            </w:r>
            <w:r w:rsidR="00052761" w:rsidRPr="00F87FE6">
              <w:rPr>
                <w:sz w:val="24"/>
              </w:rPr>
              <w:t xml:space="preserve">place them on the dotted lines until complete. </w:t>
            </w:r>
            <w:r w:rsidR="00C259EA" w:rsidRPr="00F87FE6">
              <w:rPr>
                <w:sz w:val="24"/>
              </w:rPr>
              <w:t>Y</w:t>
            </w:r>
            <w:r w:rsidR="00B91B40" w:rsidRPr="00F87FE6">
              <w:rPr>
                <w:sz w:val="24"/>
              </w:rPr>
              <w:t xml:space="preserve">ou may also use the attached copy to help your child </w:t>
            </w:r>
            <w:r w:rsidR="00C259EA" w:rsidRPr="00F87FE6">
              <w:rPr>
                <w:sz w:val="24"/>
              </w:rPr>
              <w:t>practice their pre-writing skills.</w:t>
            </w:r>
          </w:p>
        </w:tc>
      </w:tr>
      <w:tr w:rsidR="005C7178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2A24E73B" w14:textId="77777777" w:rsidR="008D44E5" w:rsidRPr="00F87FE6" w:rsidRDefault="008D44E5" w:rsidP="008D44E5">
            <w:pPr>
              <w:rPr>
                <w:sz w:val="24"/>
              </w:rPr>
            </w:pPr>
            <w:r w:rsidRPr="00F87FE6">
              <w:rPr>
                <w:sz w:val="24"/>
              </w:rPr>
              <w:t>Observes and explores a variety of plants and animals and their environments (e.g., rabbits, birds, ladybugs, hermit crabs, eggs, butterflies and bugs in the garden)</w:t>
            </w:r>
          </w:p>
          <w:p w14:paraId="5FCE5EE1" w14:textId="163D7950" w:rsidR="00A61FAC" w:rsidRPr="00F87FE6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38BB5982" w14:textId="77777777" w:rsidR="008D44E5" w:rsidRPr="00F87FE6" w:rsidRDefault="008D44E5" w:rsidP="008D44E5">
            <w:pPr>
              <w:rPr>
                <w:sz w:val="24"/>
              </w:rPr>
            </w:pPr>
            <w:r w:rsidRPr="00F87FE6">
              <w:rPr>
                <w:sz w:val="24"/>
              </w:rPr>
              <w:t xml:space="preserve">What comes next? </w:t>
            </w:r>
          </w:p>
          <w:p w14:paraId="0665A7E6" w14:textId="77777777" w:rsidR="008D44E5" w:rsidRPr="00F87FE6" w:rsidRDefault="008D44E5" w:rsidP="008D44E5">
            <w:pPr>
              <w:rPr>
                <w:sz w:val="24"/>
              </w:rPr>
            </w:pPr>
          </w:p>
          <w:p w14:paraId="0B1ADA59" w14:textId="04E6C39A" w:rsidR="00A61FAC" w:rsidRPr="00F87FE6" w:rsidRDefault="008D44E5" w:rsidP="008D44E5">
            <w:pPr>
              <w:rPr>
                <w:sz w:val="24"/>
              </w:rPr>
            </w:pPr>
            <w:r w:rsidRPr="00F87FE6">
              <w:rPr>
                <w:sz w:val="24"/>
              </w:rPr>
              <w:t>The children will be presented with the various stages of the ladybug life cycle. They will be asked which stage comes next from the picture they were presented.</w:t>
            </w:r>
          </w:p>
        </w:tc>
        <w:tc>
          <w:tcPr>
            <w:tcW w:w="4752" w:type="dxa"/>
          </w:tcPr>
          <w:p w14:paraId="20373E6F" w14:textId="2C5D8A5B" w:rsidR="00A61FAC" w:rsidRPr="00F87FE6" w:rsidRDefault="000A3D9A" w:rsidP="00C259EA">
            <w:pPr>
              <w:rPr>
                <w:sz w:val="24"/>
              </w:rPr>
            </w:pPr>
            <w:r w:rsidRPr="00F87FE6">
              <w:rPr>
                <w:sz w:val="24"/>
              </w:rPr>
              <w:t xml:space="preserve">With your child, </w:t>
            </w:r>
            <w:r w:rsidR="00391019" w:rsidRPr="00F87FE6">
              <w:rPr>
                <w:sz w:val="24"/>
              </w:rPr>
              <w:t>grab household items, such as forks and spoons, create a pa</w:t>
            </w:r>
            <w:r w:rsidR="00F87FE6" w:rsidRPr="00F87FE6">
              <w:rPr>
                <w:sz w:val="24"/>
              </w:rPr>
              <w:t>ttern. Then have your child choose which item comes next in the sequence.</w:t>
            </w:r>
          </w:p>
        </w:tc>
      </w:tr>
      <w:tr w:rsidR="005C7178" w:rsidRPr="00A61FAC" w14:paraId="5F89F5AA" w14:textId="77777777" w:rsidTr="00CF7936">
        <w:trPr>
          <w:trHeight w:val="2969"/>
        </w:trPr>
        <w:tc>
          <w:tcPr>
            <w:tcW w:w="4752" w:type="dxa"/>
          </w:tcPr>
          <w:p w14:paraId="0727353A" w14:textId="77777777" w:rsidR="00314217" w:rsidRPr="00F87FE6" w:rsidRDefault="00314217" w:rsidP="00314217">
            <w:pPr>
              <w:rPr>
                <w:color w:val="FF0000"/>
                <w:sz w:val="24"/>
              </w:rPr>
            </w:pPr>
            <w:r w:rsidRPr="00F87FE6">
              <w:rPr>
                <w:color w:val="FF0000"/>
                <w:sz w:val="24"/>
              </w:rPr>
              <w:lastRenderedPageBreak/>
              <w:t>Faith Formation</w:t>
            </w:r>
          </w:p>
          <w:p w14:paraId="0631A001" w14:textId="77777777" w:rsidR="00314217" w:rsidRPr="00F87FE6" w:rsidRDefault="00314217" w:rsidP="00314217">
            <w:pPr>
              <w:rPr>
                <w:sz w:val="24"/>
              </w:rPr>
            </w:pPr>
            <w:r w:rsidRPr="00F87FE6">
              <w:rPr>
                <w:sz w:val="24"/>
              </w:rPr>
              <w:t>Recognizes that prayer is talking to God.</w:t>
            </w:r>
          </w:p>
          <w:p w14:paraId="266BCF94" w14:textId="77777777" w:rsidR="00A61FAC" w:rsidRPr="00F87FE6" w:rsidRDefault="00A61FAC" w:rsidP="00CF7936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43E5746D" w14:textId="77777777" w:rsidR="003A4434" w:rsidRPr="00F87FE6" w:rsidRDefault="003A4434" w:rsidP="003A4434">
            <w:pPr>
              <w:rPr>
                <w:sz w:val="24"/>
              </w:rPr>
            </w:pPr>
            <w:r w:rsidRPr="00F87FE6">
              <w:rPr>
                <w:sz w:val="24"/>
              </w:rPr>
              <w:t>The Lord’s Prayer breakdown</w:t>
            </w:r>
          </w:p>
          <w:p w14:paraId="54B061BF" w14:textId="77777777" w:rsidR="003A4434" w:rsidRPr="00F87FE6" w:rsidRDefault="003A4434" w:rsidP="003A4434">
            <w:pPr>
              <w:rPr>
                <w:sz w:val="24"/>
              </w:rPr>
            </w:pPr>
          </w:p>
          <w:p w14:paraId="110715BF" w14:textId="0DA2C8A9" w:rsidR="00A61FAC" w:rsidRPr="00F87FE6" w:rsidRDefault="003A4434" w:rsidP="003A4434">
            <w:pPr>
              <w:rPr>
                <w:sz w:val="24"/>
              </w:rPr>
            </w:pPr>
            <w:r w:rsidRPr="00F87FE6">
              <w:rPr>
                <w:sz w:val="24"/>
              </w:rPr>
              <w:t>We will breakdown the Lord’s Prayer into different parts and further discuss what each part means.</w:t>
            </w:r>
          </w:p>
        </w:tc>
        <w:tc>
          <w:tcPr>
            <w:tcW w:w="4752" w:type="dxa"/>
          </w:tcPr>
          <w:p w14:paraId="57D9F49C" w14:textId="44F47C68" w:rsidR="00A61FAC" w:rsidRPr="00F87FE6" w:rsidRDefault="0067757E" w:rsidP="00244BA7">
            <w:pPr>
              <w:rPr>
                <w:sz w:val="24"/>
              </w:rPr>
            </w:pPr>
            <w:r w:rsidRPr="00F87FE6">
              <w:rPr>
                <w:sz w:val="24"/>
              </w:rPr>
              <w:t>I have attached a copy of the Lord’s Prayer</w:t>
            </w:r>
            <w:r w:rsidR="007D2538" w:rsidRPr="00F87FE6">
              <w:rPr>
                <w:sz w:val="24"/>
              </w:rPr>
              <w:t xml:space="preserve">. </w:t>
            </w:r>
            <w:r w:rsidR="001D5001" w:rsidRPr="00F87FE6">
              <w:rPr>
                <w:sz w:val="24"/>
              </w:rPr>
              <w:t>Before bed</w:t>
            </w:r>
            <w:r w:rsidR="00730B84" w:rsidRPr="00F87FE6">
              <w:rPr>
                <w:sz w:val="24"/>
              </w:rPr>
              <w:t>, say the prayer with your child.</w:t>
            </w:r>
          </w:p>
        </w:tc>
      </w:tr>
    </w:tbl>
    <w:p w14:paraId="4620BC8B" w14:textId="755EAB19" w:rsidR="001D376D" w:rsidRDefault="00106DF2" w:rsidP="00A61FAC">
      <w:pPr>
        <w:rPr>
          <w:sz w:val="52"/>
          <w:szCs w:val="32"/>
        </w:rPr>
      </w:pPr>
    </w:p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71CC8801" w14:textId="633C1B1D" w:rsidR="00A61FAC" w:rsidRPr="00A61FAC" w:rsidRDefault="008D44E5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week we will be discussing the life cycle of a ladybug.</w:t>
      </w:r>
    </w:p>
    <w:sectPr w:rsidR="00A61FAC" w:rsidRPr="00A61FAC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53C9" w14:textId="77777777" w:rsidR="00106DF2" w:rsidRDefault="00106DF2" w:rsidP="00A61FAC">
      <w:r>
        <w:separator/>
      </w:r>
    </w:p>
  </w:endnote>
  <w:endnote w:type="continuationSeparator" w:id="0">
    <w:p w14:paraId="63DBB9A7" w14:textId="77777777" w:rsidR="00106DF2" w:rsidRDefault="00106DF2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DFFC3" w14:textId="77777777" w:rsidR="00106DF2" w:rsidRDefault="00106DF2" w:rsidP="00A61FAC">
      <w:r>
        <w:separator/>
      </w:r>
    </w:p>
  </w:footnote>
  <w:footnote w:type="continuationSeparator" w:id="0">
    <w:p w14:paraId="09144BA6" w14:textId="77777777" w:rsidR="00106DF2" w:rsidRDefault="00106DF2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E423194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8D44E5">
      <w:t>April 26,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52761"/>
    <w:rsid w:val="000A3D9A"/>
    <w:rsid w:val="000B292B"/>
    <w:rsid w:val="000C0E8B"/>
    <w:rsid w:val="00103D0C"/>
    <w:rsid w:val="00106DF2"/>
    <w:rsid w:val="00107B42"/>
    <w:rsid w:val="001D5001"/>
    <w:rsid w:val="001D70DF"/>
    <w:rsid w:val="00244BA7"/>
    <w:rsid w:val="00314217"/>
    <w:rsid w:val="00361815"/>
    <w:rsid w:val="0038280F"/>
    <w:rsid w:val="00391019"/>
    <w:rsid w:val="003A4434"/>
    <w:rsid w:val="003D6B3C"/>
    <w:rsid w:val="004A2A7C"/>
    <w:rsid w:val="004C3918"/>
    <w:rsid w:val="00526327"/>
    <w:rsid w:val="005359AB"/>
    <w:rsid w:val="005C7178"/>
    <w:rsid w:val="0067757E"/>
    <w:rsid w:val="00730B84"/>
    <w:rsid w:val="00782BB5"/>
    <w:rsid w:val="007859DC"/>
    <w:rsid w:val="007D2538"/>
    <w:rsid w:val="0084376D"/>
    <w:rsid w:val="00865387"/>
    <w:rsid w:val="00894B88"/>
    <w:rsid w:val="008A03C6"/>
    <w:rsid w:val="008D44E5"/>
    <w:rsid w:val="00A00D0D"/>
    <w:rsid w:val="00A27440"/>
    <w:rsid w:val="00A61FAC"/>
    <w:rsid w:val="00A636F3"/>
    <w:rsid w:val="00AE5CFA"/>
    <w:rsid w:val="00B33DA3"/>
    <w:rsid w:val="00B72836"/>
    <w:rsid w:val="00B91B40"/>
    <w:rsid w:val="00BC5B8F"/>
    <w:rsid w:val="00C259EA"/>
    <w:rsid w:val="00C636A8"/>
    <w:rsid w:val="00CC2AE2"/>
    <w:rsid w:val="00CF7936"/>
    <w:rsid w:val="00D04DD1"/>
    <w:rsid w:val="00D91270"/>
    <w:rsid w:val="00DB18BD"/>
    <w:rsid w:val="00E32859"/>
    <w:rsid w:val="00E35DDE"/>
    <w:rsid w:val="00E3614E"/>
    <w:rsid w:val="00E539A3"/>
    <w:rsid w:val="00F87FE6"/>
    <w:rsid w:val="00FA2BBE"/>
    <w:rsid w:val="00FE070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25</cp:revision>
  <dcterms:created xsi:type="dcterms:W3CDTF">2021-03-30T12:46:00Z</dcterms:created>
  <dcterms:modified xsi:type="dcterms:W3CDTF">2021-03-31T02:37:00Z</dcterms:modified>
</cp:coreProperties>
</file>